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cpifbcn0plk" w:id="0"/>
      <w:bookmarkEnd w:id="0"/>
      <w:r w:rsidDel="00000000" w:rsidR="00000000" w:rsidRPr="00000000">
        <w:rPr>
          <w:i w:val="1"/>
          <w:rtl w:val="0"/>
        </w:rPr>
        <w:t xml:space="preserve">Deep Learning Illustrated</w:t>
      </w:r>
      <w:r w:rsidDel="00000000" w:rsidR="00000000" w:rsidRPr="00000000">
        <w:rPr>
          <w:rtl w:val="0"/>
        </w:rPr>
        <w:t xml:space="preserve"> </w:t>
      </w:r>
      <w:r w:rsidDel="00000000" w:rsidR="00000000" w:rsidRPr="00000000">
        <w:rPr>
          <w:rtl w:val="0"/>
        </w:rPr>
        <w:t xml:space="preserve">Errata</w:t>
      </w:r>
    </w:p>
    <w:p w:rsidR="00000000" w:rsidDel="00000000" w:rsidP="00000000" w:rsidRDefault="00000000" w:rsidRPr="00000000" w14:paraId="00000002">
      <w:pPr>
        <w:rPr/>
      </w:pPr>
      <w:r w:rsidDel="00000000" w:rsidR="00000000" w:rsidRPr="00000000">
        <w:rPr>
          <w:i w:val="1"/>
          <w:rtl w:val="0"/>
        </w:rPr>
        <w:t xml:space="preserve">Most recently updated by </w:t>
      </w:r>
      <w:hyperlink r:id="rId6">
        <w:r w:rsidDel="00000000" w:rsidR="00000000" w:rsidRPr="00000000">
          <w:rPr>
            <w:i w:val="1"/>
            <w:color w:val="1155cc"/>
            <w:u w:val="single"/>
            <w:rtl w:val="0"/>
          </w:rPr>
          <w:t xml:space="preserve">Jon Krohn</w:t>
        </w:r>
      </w:hyperlink>
      <w:r w:rsidDel="00000000" w:rsidR="00000000" w:rsidRPr="00000000">
        <w:rPr>
          <w:i w:val="1"/>
          <w:rtl w:val="0"/>
        </w:rPr>
        <w:t xml:space="preserve"> on Apr 16, 2020</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Subtitle"/>
        <w:rPr/>
      </w:pPr>
      <w:bookmarkStart w:colFirst="0" w:colLast="0" w:name="_jt5sgbvekuzd" w:id="1"/>
      <w:bookmarkEnd w:id="1"/>
      <w:r w:rsidDel="00000000" w:rsidR="00000000" w:rsidRPr="00000000">
        <w:rPr>
          <w:rtl w:val="0"/>
        </w:rPr>
        <w:t xml:space="preserve">“To err and err and err again, but less and less and less.” ~ Piet Hien</w:t>
      </w:r>
    </w:p>
    <w:p w:rsidR="00000000" w:rsidDel="00000000" w:rsidP="00000000" w:rsidRDefault="00000000" w:rsidRPr="00000000" w14:paraId="00000005">
      <w:pPr>
        <w:pStyle w:val="Heading2"/>
        <w:rPr/>
      </w:pPr>
      <w:bookmarkStart w:colFirst="0" w:colLast="0" w:name="_hnk4on3lggg" w:id="2"/>
      <w:bookmarkEnd w:id="2"/>
      <w:r w:rsidDel="00000000" w:rsidR="00000000" w:rsidRPr="00000000">
        <w:rPr>
          <w:rtl w:val="0"/>
        </w:rPr>
        <w:t xml:space="preserve">Chapter 2</w:t>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Page 30: The </w:t>
      </w:r>
      <w:r w:rsidDel="00000000" w:rsidR="00000000" w:rsidRPr="00000000">
        <w:rPr>
          <w:rFonts w:ascii="Courier New" w:cs="Courier New" w:eastAsia="Courier New" w:hAnsi="Courier New"/>
          <w:rtl w:val="0"/>
        </w:rPr>
        <w:t xml:space="preserve">bit.ly/word2viz</w:t>
      </w:r>
      <w:r w:rsidDel="00000000" w:rsidR="00000000" w:rsidRPr="00000000">
        <w:rPr>
          <w:rtl w:val="0"/>
        </w:rPr>
        <w:t xml:space="preserve"> link is broken. Please use </w:t>
      </w:r>
      <w:hyperlink r:id="rId7">
        <w:r w:rsidDel="00000000" w:rsidR="00000000" w:rsidRPr="00000000">
          <w:rPr>
            <w:rFonts w:ascii="Courier New" w:cs="Courier New" w:eastAsia="Courier New" w:hAnsi="Courier New"/>
            <w:color w:val="1155cc"/>
            <w:u w:val="single"/>
            <w:rtl w:val="0"/>
          </w:rPr>
          <w:t xml:space="preserve">jonkrohn.com/word2viz</w:t>
        </w:r>
      </w:hyperlink>
      <w:r w:rsidDel="00000000" w:rsidR="00000000" w:rsidRPr="00000000">
        <w:rPr>
          <w:rtl w:val="0"/>
        </w:rPr>
        <w:t xml:space="preserve"> instead.</w:t>
      </w:r>
    </w:p>
    <w:p w:rsidR="00000000" w:rsidDel="00000000" w:rsidP="00000000" w:rsidRDefault="00000000" w:rsidRPr="00000000" w14:paraId="00000007">
      <w:pPr>
        <w:pStyle w:val="Heading2"/>
        <w:rPr/>
      </w:pPr>
      <w:bookmarkStart w:colFirst="0" w:colLast="0" w:name="_u81c8in3h67s" w:id="3"/>
      <w:bookmarkEnd w:id="3"/>
      <w:r w:rsidDel="00000000" w:rsidR="00000000" w:rsidRPr="00000000">
        <w:rPr>
          <w:rtl w:val="0"/>
        </w:rPr>
        <w:t xml:space="preserve">Chapter 5</w:t>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Page 83: The section title “Training a Deep Learning Model” should be “Training a Neural Network Model”</w:t>
      </w:r>
    </w:p>
    <w:p w:rsidR="00000000" w:rsidDel="00000000" w:rsidP="00000000" w:rsidRDefault="00000000" w:rsidRPr="00000000" w14:paraId="00000009">
      <w:pPr>
        <w:pStyle w:val="Heading2"/>
        <w:rPr/>
      </w:pPr>
      <w:bookmarkStart w:colFirst="0" w:colLast="0" w:name="_wn4s8p3p1nvy" w:id="4"/>
      <w:bookmarkEnd w:id="4"/>
      <w:r w:rsidDel="00000000" w:rsidR="00000000" w:rsidRPr="00000000">
        <w:rPr>
          <w:rtl w:val="0"/>
        </w:rPr>
        <w:t xml:space="preserve">Chapter 7</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Figure 7.1: There’s a directed edge (an arrow) missing between the neuron labeled </w:t>
      </w:r>
      <w:r w:rsidDel="00000000" w:rsidR="00000000" w:rsidRPr="00000000">
        <w:rPr>
          <w:i w:val="1"/>
          <w:rtl w:val="0"/>
        </w:rPr>
        <w:t xml:space="preserve">x</w:t>
      </w:r>
      <w:r w:rsidDel="00000000" w:rsidR="00000000" w:rsidRPr="00000000">
        <w:rPr>
          <w:i w:val="1"/>
          <w:vertAlign w:val="subscript"/>
          <w:rtl w:val="0"/>
        </w:rPr>
        <w:t xml:space="preserve">2</w:t>
      </w:r>
      <w:r w:rsidDel="00000000" w:rsidR="00000000" w:rsidRPr="00000000">
        <w:rPr>
          <w:i w:val="1"/>
          <w:rtl w:val="0"/>
        </w:rPr>
        <w:t xml:space="preserve"> </w:t>
      </w:r>
      <w:r w:rsidDel="00000000" w:rsidR="00000000" w:rsidRPr="00000000">
        <w:rPr>
          <w:rtl w:val="0"/>
        </w:rPr>
        <w:t xml:space="preserve">and the neuron labeled </w:t>
      </w:r>
      <w:r w:rsidDel="00000000" w:rsidR="00000000" w:rsidRPr="00000000">
        <w:rPr>
          <w:i w:val="1"/>
          <w:rtl w:val="0"/>
        </w:rPr>
        <w:t xml:space="preserve">a</w:t>
      </w:r>
      <w:r w:rsidDel="00000000" w:rsidR="00000000" w:rsidRPr="00000000">
        <w:rPr>
          <w:i w:val="1"/>
          <w:vertAlign w:val="subscript"/>
          <w:rtl w:val="0"/>
        </w:rPr>
        <w:t xml:space="preserve">2</w:t>
      </w:r>
      <w:r w:rsidDel="00000000" w:rsidR="00000000" w:rsidRPr="00000000">
        <w:rPr>
          <w:rtl w:val="0"/>
        </w:rPr>
      </w:r>
    </w:p>
    <w:p w:rsidR="00000000" w:rsidDel="00000000" w:rsidP="00000000" w:rsidRDefault="00000000" w:rsidRPr="00000000" w14:paraId="0000000B">
      <w:pPr>
        <w:numPr>
          <w:ilvl w:val="0"/>
          <w:numId w:val="3"/>
        </w:numPr>
        <w:ind w:left="720" w:hanging="360"/>
        <w:rPr/>
      </w:pPr>
      <w:r w:rsidDel="00000000" w:rsidR="00000000" w:rsidRPr="00000000">
        <w:rPr>
          <w:rtl w:val="0"/>
        </w:rPr>
        <w:t xml:space="preserve">Figure 7.2: Ditto</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Figure 7.3: Ditto</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Figure 7.4: Ditto. In addition, there’s another directed edge missing between the neurons </w:t>
      </w:r>
      <w:r w:rsidDel="00000000" w:rsidR="00000000" w:rsidRPr="00000000">
        <w:rPr>
          <w:i w:val="1"/>
          <w:rtl w:val="0"/>
        </w:rPr>
        <w:t xml:space="preserve">a</w:t>
      </w:r>
      <w:r w:rsidDel="00000000" w:rsidR="00000000" w:rsidRPr="00000000">
        <w:rPr>
          <w:i w:val="1"/>
          <w:vertAlign w:val="subscript"/>
          <w:rtl w:val="0"/>
        </w:rPr>
        <w:t xml:space="preserve">4</w:t>
      </w:r>
      <w:r w:rsidDel="00000000" w:rsidR="00000000" w:rsidRPr="00000000">
        <w:rPr>
          <w:i w:val="1"/>
          <w:rtl w:val="0"/>
        </w:rPr>
        <w:t xml:space="preserve"> </w:t>
      </w:r>
      <w:r w:rsidDel="00000000" w:rsidR="00000000" w:rsidRPr="00000000">
        <w:rPr>
          <w:rtl w:val="0"/>
        </w:rPr>
        <w:t xml:space="preserve">and </w:t>
      </w:r>
      <w:r w:rsidDel="00000000" w:rsidR="00000000" w:rsidRPr="00000000">
        <w:rPr>
          <w:i w:val="1"/>
          <w:rtl w:val="0"/>
        </w:rPr>
        <w:t xml:space="preserve">y</w:t>
      </w:r>
      <w:r w:rsidDel="00000000" w:rsidR="00000000" w:rsidRPr="00000000">
        <w:rPr>
          <w:i w:val="1"/>
          <w:vertAlign w:val="subscript"/>
          <w:rtl w:val="0"/>
        </w:rPr>
        <w:t xml:space="preserve">3</w:t>
      </w:r>
      <w:r w:rsidDel="00000000" w:rsidR="00000000" w:rsidRPr="00000000">
        <w:rPr>
          <w:rtl w:val="0"/>
        </w:rPr>
      </w:r>
    </w:p>
    <w:p w:rsidR="00000000" w:rsidDel="00000000" w:rsidP="00000000" w:rsidRDefault="00000000" w:rsidRPr="00000000" w14:paraId="0000000E">
      <w:pPr>
        <w:pStyle w:val="Heading2"/>
        <w:rPr/>
      </w:pPr>
      <w:bookmarkStart w:colFirst="0" w:colLast="0" w:name="_uhmzo51hq95d" w:id="5"/>
      <w:bookmarkEnd w:id="5"/>
      <w:r w:rsidDel="00000000" w:rsidR="00000000" w:rsidRPr="00000000">
        <w:rPr>
          <w:rtl w:val="0"/>
        </w:rPr>
        <w:t xml:space="preserve">Chapter 9</w:t>
      </w:r>
    </w:p>
    <w:p w:rsidR="00000000" w:rsidDel="00000000" w:rsidP="00000000" w:rsidRDefault="00000000" w:rsidRPr="00000000" w14:paraId="0000000F">
      <w:pPr>
        <w:numPr>
          <w:ilvl w:val="0"/>
          <w:numId w:val="7"/>
        </w:numPr>
        <w:ind w:left="720" w:hanging="360"/>
        <w:rPr>
          <w:u w:val="none"/>
        </w:rPr>
      </w:pPr>
      <w:r w:rsidDel="00000000" w:rsidR="00000000" w:rsidRPr="00000000">
        <w:rPr>
          <w:rtl w:val="0"/>
        </w:rPr>
        <w:t xml:space="preserve">Page 138: The first sentence in the Batch Normalization section should read: “During neural network training, the distribution of parameters in a given layer may gradually move around…”</w:t>
      </w:r>
    </w:p>
    <w:p w:rsidR="00000000" w:rsidDel="00000000" w:rsidP="00000000" w:rsidRDefault="00000000" w:rsidRPr="00000000" w14:paraId="00000010">
      <w:pPr>
        <w:numPr>
          <w:ilvl w:val="0"/>
          <w:numId w:val="7"/>
        </w:numPr>
        <w:ind w:left="720" w:hanging="360"/>
        <w:rPr>
          <w:u w:val="none"/>
        </w:rPr>
      </w:pPr>
      <w:r w:rsidDel="00000000" w:rsidR="00000000" w:rsidRPr="00000000">
        <w:rPr>
          <w:rtl w:val="0"/>
        </w:rPr>
        <w:t xml:space="preserve">Footnote 16 should read: “This circumstance can be annotated as </w:t>
      </w:r>
      <w:r w:rsidDel="00000000" w:rsidR="00000000" w:rsidRPr="00000000">
        <w:rPr>
          <w:i w:val="1"/>
          <w:rtl w:val="0"/>
        </w:rPr>
        <w:t xml:space="preserve">p &gt;&gt; n</w:t>
      </w:r>
      <w:r w:rsidDel="00000000" w:rsidR="00000000" w:rsidRPr="00000000">
        <w:rPr>
          <w:rtl w:val="0"/>
        </w:rPr>
        <w:t xml:space="preserve">, indicating the </w:t>
      </w:r>
      <w:r w:rsidDel="00000000" w:rsidR="00000000" w:rsidRPr="00000000">
        <w:rPr>
          <w:i w:val="1"/>
          <w:rtl w:val="0"/>
        </w:rPr>
        <w:t xml:space="preserve">p</w:t>
      </w:r>
      <w:r w:rsidDel="00000000" w:rsidR="00000000" w:rsidRPr="00000000">
        <w:rPr>
          <w:rtl w:val="0"/>
        </w:rPr>
        <w:t xml:space="preserve">arameter count is much greater than the </w:t>
      </w:r>
      <w:r w:rsidDel="00000000" w:rsidR="00000000" w:rsidRPr="00000000">
        <w:rPr>
          <w:i w:val="1"/>
          <w:rtl w:val="0"/>
        </w:rPr>
        <w:t xml:space="preserve">n</w:t>
      </w:r>
      <w:r w:rsidDel="00000000" w:rsidR="00000000" w:rsidRPr="00000000">
        <w:rPr>
          <w:rtl w:val="0"/>
        </w:rPr>
        <w:t xml:space="preserve">umber of samples.”</w:t>
      </w:r>
    </w:p>
    <w:p w:rsidR="00000000" w:rsidDel="00000000" w:rsidP="00000000" w:rsidRDefault="00000000" w:rsidRPr="00000000" w14:paraId="00000011">
      <w:pPr>
        <w:numPr>
          <w:ilvl w:val="0"/>
          <w:numId w:val="7"/>
        </w:numPr>
        <w:ind w:left="720" w:hanging="360"/>
        <w:rPr>
          <w:u w:val="none"/>
        </w:rPr>
      </w:pPr>
      <w:r w:rsidDel="00000000" w:rsidR="00000000" w:rsidRPr="00000000">
        <w:rPr>
          <w:rtl w:val="0"/>
        </w:rPr>
        <w:t xml:space="preserve">Page 147: Instead of “we’re”, it should read “we’ve reached a momentous milestone”</w:t>
      </w:r>
    </w:p>
    <w:p w:rsidR="00000000" w:rsidDel="00000000" w:rsidP="00000000" w:rsidRDefault="00000000" w:rsidRPr="00000000" w14:paraId="00000012">
      <w:pPr>
        <w:numPr>
          <w:ilvl w:val="0"/>
          <w:numId w:val="7"/>
        </w:numPr>
        <w:ind w:left="720" w:hanging="360"/>
        <w:rPr>
          <w:u w:val="none"/>
        </w:rPr>
      </w:pPr>
      <w:r w:rsidDel="00000000" w:rsidR="00000000" w:rsidRPr="00000000">
        <w:rPr>
          <w:rtl w:val="0"/>
        </w:rPr>
        <w:t xml:space="preserve">Page 152: The command in step 2 for running TensorBoard should be </w:t>
      </w:r>
      <w:r w:rsidDel="00000000" w:rsidR="00000000" w:rsidRPr="00000000">
        <w:rPr>
          <w:rFonts w:ascii="Courier New" w:cs="Courier New" w:eastAsia="Courier New" w:hAnsi="Courier New"/>
          <w:rtl w:val="0"/>
        </w:rPr>
        <w:t xml:space="preserve">tensorboard --logdir==`logs` --port 6006 </w:t>
      </w:r>
      <w:r w:rsidDel="00000000" w:rsidR="00000000" w:rsidRPr="00000000">
        <w:rPr>
          <w:rtl w:val="0"/>
        </w:rPr>
        <w:t xml:space="preserve">(as opposed to the </w:t>
      </w:r>
      <w:r w:rsidDel="00000000" w:rsidR="00000000" w:rsidRPr="00000000">
        <w:rPr>
          <w:rFonts w:ascii="Courier New" w:cs="Courier New" w:eastAsia="Courier New" w:hAnsi="Courier New"/>
          <w:rtl w:val="0"/>
        </w:rPr>
        <w:t xml:space="preserve">--logdir</w:t>
      </w:r>
      <w:r w:rsidDel="00000000" w:rsidR="00000000" w:rsidRPr="00000000">
        <w:rPr>
          <w:rtl w:val="0"/>
        </w:rPr>
        <w:t xml:space="preserve"> argument being set to the overly-specific </w:t>
      </w:r>
      <w:r w:rsidDel="00000000" w:rsidR="00000000" w:rsidRPr="00000000">
        <w:rPr>
          <w:rFonts w:ascii="Courier New" w:cs="Courier New" w:eastAsia="Courier New" w:hAnsi="Courier New"/>
          <w:rtl w:val="0"/>
        </w:rPr>
        <w:t xml:space="preserve">`logs/deep-net`</w:t>
      </w:r>
      <w:r w:rsidDel="00000000" w:rsidR="00000000" w:rsidRPr="00000000">
        <w:rPr>
          <w:rtl w:val="0"/>
        </w:rPr>
        <w:t xml:space="preserve">)</w:t>
      </w:r>
    </w:p>
    <w:p w:rsidR="00000000" w:rsidDel="00000000" w:rsidP="00000000" w:rsidRDefault="00000000" w:rsidRPr="00000000" w14:paraId="00000013">
      <w:pPr>
        <w:pStyle w:val="Heading2"/>
        <w:rPr/>
      </w:pPr>
      <w:bookmarkStart w:colFirst="0" w:colLast="0" w:name="_jf4kx5eangpp" w:id="6"/>
      <w:bookmarkEnd w:id="6"/>
      <w:r w:rsidDel="00000000" w:rsidR="00000000" w:rsidRPr="00000000">
        <w:rPr>
          <w:rtl w:val="0"/>
        </w:rPr>
        <w:t xml:space="preserve">Chapter 10</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Page 167: “spacial context” should be “spatial context”</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Figure 10.10: On the right-hand side of the figure, the conv blocks should appear above the pooling block.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Figure 10.12: Along the bottom of the figure, the lowest block in the sixth column should be black not red, as with all of the other skip connections in that part of the figure.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Footnote 33: Apologies to Ross Girshick, his surname does not have an “n” in it.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Footnote 36: Ditto</w:t>
      </w:r>
    </w:p>
    <w:p w:rsidR="00000000" w:rsidDel="00000000" w:rsidP="00000000" w:rsidRDefault="00000000" w:rsidRPr="00000000" w14:paraId="00000019">
      <w:pPr>
        <w:pStyle w:val="Heading2"/>
        <w:rPr/>
      </w:pPr>
      <w:bookmarkStart w:colFirst="0" w:colLast="0" w:name="_o1rqsb99u0aj" w:id="7"/>
      <w:bookmarkEnd w:id="7"/>
      <w:r w:rsidDel="00000000" w:rsidR="00000000" w:rsidRPr="00000000">
        <w:rPr>
          <w:rtl w:val="0"/>
        </w:rPr>
        <w:t xml:space="preserve">Chapter 11</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Figure 11.25: An occurrence of the word “output” is misspelt “ouput”</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Example 11.40: Programmatically it makes no difference, but for consistency with Figure 11.27, it might be more straightforward if </w:t>
      </w:r>
      <w:r w:rsidDel="00000000" w:rsidR="00000000" w:rsidRPr="00000000">
        <w:rPr>
          <w:rFonts w:ascii="Courier New" w:cs="Courier New" w:eastAsia="Courier New" w:hAnsi="Courier New"/>
          <w:rtl w:val="0"/>
        </w:rPr>
        <w:t xml:space="preserve">k_conv_1</w:t>
      </w:r>
      <w:r w:rsidDel="00000000" w:rsidR="00000000" w:rsidRPr="00000000">
        <w:rPr>
          <w:rtl w:val="0"/>
        </w:rPr>
        <w:t xml:space="preserve"> were set to </w:t>
      </w:r>
      <w:r w:rsidDel="00000000" w:rsidR="00000000" w:rsidRPr="00000000">
        <w:rPr>
          <w:rFonts w:ascii="Courier New" w:cs="Courier New" w:eastAsia="Courier New" w:hAnsi="Courier New"/>
          <w:rtl w:val="0"/>
        </w:rPr>
        <w:t xml:space="preserve">2</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k_conv_2</w:t>
      </w:r>
      <w:r w:rsidDel="00000000" w:rsidR="00000000" w:rsidRPr="00000000">
        <w:rPr>
          <w:rtl w:val="0"/>
        </w:rPr>
        <w:t xml:space="preserve"> were set to </w:t>
      </w:r>
      <w:r w:rsidDel="00000000" w:rsidR="00000000" w:rsidRPr="00000000">
        <w:rPr>
          <w:rFonts w:ascii="Courier New" w:cs="Courier New" w:eastAsia="Courier New" w:hAnsi="Courier New"/>
          <w:rtl w:val="0"/>
        </w:rPr>
        <w:t xml:space="preserve">3</w:t>
      </w:r>
      <w:r w:rsidDel="00000000" w:rsidR="00000000" w:rsidRPr="00000000">
        <w:rPr>
          <w:rtl w:val="0"/>
        </w:rPr>
        <w:t xml:space="preserve"> instead of the other way around. </w:t>
      </w:r>
    </w:p>
    <w:p w:rsidR="00000000" w:rsidDel="00000000" w:rsidP="00000000" w:rsidRDefault="00000000" w:rsidRPr="00000000" w14:paraId="0000001C">
      <w:pPr>
        <w:pStyle w:val="Heading2"/>
        <w:rPr/>
      </w:pPr>
      <w:bookmarkStart w:colFirst="0" w:colLast="0" w:name="_vx0pyucq7vj" w:id="8"/>
      <w:bookmarkEnd w:id="8"/>
      <w:r w:rsidDel="00000000" w:rsidR="00000000" w:rsidRPr="00000000">
        <w:rPr>
          <w:rtl w:val="0"/>
        </w:rPr>
        <w:t xml:space="preserve">Chapter 13</w:t>
      </w:r>
    </w:p>
    <w:p w:rsidR="00000000" w:rsidDel="00000000" w:rsidP="00000000" w:rsidRDefault="00000000" w:rsidRPr="00000000" w14:paraId="0000001D">
      <w:pPr>
        <w:numPr>
          <w:ilvl w:val="0"/>
          <w:numId w:val="6"/>
        </w:numPr>
        <w:ind w:left="720" w:hanging="360"/>
        <w:rPr>
          <w:u w:val="none"/>
        </w:rPr>
      </w:pPr>
      <w:r w:rsidDel="00000000" w:rsidR="00000000" w:rsidRPr="00000000">
        <w:rPr>
          <w:rtl w:val="0"/>
        </w:rPr>
        <w:t xml:space="preserve">Page 286: Add “sonar” to the list of autonomous vehicle sensors, e.g., “cameras, radar, sonar, lidar”</w:t>
      </w:r>
    </w:p>
    <w:p w:rsidR="00000000" w:rsidDel="00000000" w:rsidP="00000000" w:rsidRDefault="00000000" w:rsidRPr="00000000" w14:paraId="0000001E">
      <w:pPr>
        <w:numPr>
          <w:ilvl w:val="0"/>
          <w:numId w:val="6"/>
        </w:numPr>
        <w:ind w:left="720" w:hanging="360"/>
        <w:rPr>
          <w:u w:val="none"/>
        </w:rPr>
      </w:pPr>
      <w:r w:rsidDel="00000000" w:rsidR="00000000" w:rsidRPr="00000000">
        <w:rPr>
          <w:rtl w:val="0"/>
        </w:rPr>
        <w:t xml:space="preserve">Footnote 2 should read: “Same principle as sonar but uses lasers intead of sound.” (Thanks to Austen Groener, an AI Research Scientist at Lockheed Martin Space, for pointing this one out.)</w:t>
      </w:r>
    </w:p>
    <w:p w:rsidR="00000000" w:rsidDel="00000000" w:rsidP="00000000" w:rsidRDefault="00000000" w:rsidRPr="00000000" w14:paraId="0000001F">
      <w:pPr>
        <w:pStyle w:val="Heading2"/>
        <w:rPr/>
      </w:pPr>
      <w:bookmarkStart w:colFirst="0" w:colLast="0" w:name="_ru012v3mw4d3" w:id="9"/>
      <w:bookmarkEnd w:id="9"/>
      <w:r w:rsidDel="00000000" w:rsidR="00000000" w:rsidRPr="00000000">
        <w:rPr>
          <w:rtl w:val="0"/>
        </w:rPr>
        <w:t xml:space="preserve">Appendix B</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There’s an error in the partial derivative notation for backpropagation. See </w:t>
      </w:r>
      <w:hyperlink r:id="rId8">
        <w:r w:rsidDel="00000000" w:rsidR="00000000" w:rsidRPr="00000000">
          <w:rPr>
            <w:color w:val="1155cc"/>
            <w:u w:val="single"/>
            <w:rtl w:val="0"/>
          </w:rPr>
          <w:t xml:space="preserve">this issue in GitHub</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nkrohn.com/" TargetMode="External"/><Relationship Id="rId7" Type="http://schemas.openxmlformats.org/officeDocument/2006/relationships/hyperlink" Target="http://jonkrohn.com/word2viz" TargetMode="External"/><Relationship Id="rId8" Type="http://schemas.openxmlformats.org/officeDocument/2006/relationships/hyperlink" Target="https://github.com/the-deep-learners/deep-learning-illustrated/issue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