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60413" w14:textId="3711ECE0" w:rsidR="0057126E" w:rsidRPr="009F3172" w:rsidRDefault="002320B5" w:rsidP="009F3172">
      <w:pPr>
        <w:pStyle w:val="Heading1"/>
        <w:jc w:val="center"/>
      </w:pPr>
      <w:r>
        <w:t xml:space="preserve">Cisco </w:t>
      </w:r>
      <w:r w:rsidR="00B70947">
        <w:t xml:space="preserve">CCENT/CCNA ICND1 </w:t>
      </w:r>
      <w:r>
        <w:t>100-10</w:t>
      </w:r>
      <w:r w:rsidR="0034739F">
        <w:t>5</w:t>
      </w:r>
      <w:r>
        <w:t xml:space="preserve"> </w:t>
      </w:r>
      <w:r w:rsidR="00B70947">
        <w:t>Official</w:t>
      </w:r>
      <w:r w:rsidR="0057126E">
        <w:t xml:space="preserve"> Cert Guide</w:t>
      </w:r>
    </w:p>
    <w:p w14:paraId="0E67253F" w14:textId="77777777" w:rsidR="0057126E" w:rsidRPr="00FA63E2" w:rsidRDefault="0057126E" w:rsidP="0057126E"/>
    <w:p w14:paraId="260C9B49" w14:textId="2073EC91" w:rsidR="0057126E" w:rsidRPr="00B37752" w:rsidRDefault="0034739F" w:rsidP="0057126E">
      <w:pPr>
        <w:pStyle w:val="CRHD"/>
        <w:jc w:val="center"/>
        <w:rPr>
          <w:rFonts w:ascii="Verdana" w:hAnsi="Verdana"/>
        </w:rPr>
      </w:pPr>
      <w:r>
        <w:rPr>
          <w:rFonts w:ascii="Verdana" w:hAnsi="Verdana"/>
        </w:rPr>
        <w:t>Copyright © 2016</w:t>
      </w:r>
      <w:r w:rsidR="0057126E">
        <w:rPr>
          <w:rFonts w:ascii="Verdana" w:hAnsi="Verdana"/>
        </w:rPr>
        <w:t xml:space="preserve"> </w:t>
      </w:r>
      <w:r w:rsidR="00B70947">
        <w:rPr>
          <w:rFonts w:ascii="Verdana" w:hAnsi="Verdana"/>
        </w:rPr>
        <w:t xml:space="preserve">Pearson Education, Inc. </w:t>
      </w:r>
    </w:p>
    <w:p w14:paraId="4CADF83D" w14:textId="6DD893E2"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B70947">
        <w:rPr>
          <w:rFonts w:ascii="Verdana" w:hAnsi="Verdana"/>
          <w:bCs/>
        </w:rPr>
        <w:t>1-587</w:t>
      </w:r>
      <w:r w:rsidR="0034739F">
        <w:rPr>
          <w:rFonts w:ascii="Verdana" w:hAnsi="Verdana"/>
          <w:bCs/>
        </w:rPr>
        <w:t>20</w:t>
      </w:r>
      <w:r w:rsidR="008876B8">
        <w:rPr>
          <w:rFonts w:ascii="Verdana" w:hAnsi="Verdana"/>
          <w:bCs/>
        </w:rPr>
        <w:t>-</w:t>
      </w:r>
      <w:r w:rsidR="007877CD">
        <w:rPr>
          <w:rFonts w:ascii="Verdana" w:hAnsi="Verdana"/>
          <w:bCs/>
        </w:rPr>
        <w:t>580-7</w:t>
      </w:r>
      <w:r>
        <w:rPr>
          <w:rFonts w:ascii="Verdana" w:hAnsi="Verdana"/>
        </w:rPr>
        <w:br/>
        <w:t xml:space="preserve">ISBN-13: </w:t>
      </w:r>
      <w:bookmarkStart w:id="0" w:name="_GoBack"/>
      <w:r>
        <w:rPr>
          <w:rFonts w:ascii="Verdana" w:hAnsi="Verdana"/>
        </w:rPr>
        <w:t>9</w:t>
      </w:r>
      <w:r w:rsidRPr="00BE7D4B">
        <w:rPr>
          <w:rFonts w:ascii="Verdana" w:hAnsi="Verdana"/>
        </w:rPr>
        <w:t>78</w:t>
      </w:r>
      <w:r>
        <w:rPr>
          <w:rFonts w:ascii="Verdana" w:hAnsi="Verdana"/>
        </w:rPr>
        <w:t>-</w:t>
      </w:r>
      <w:r w:rsidR="00B70947">
        <w:rPr>
          <w:rFonts w:ascii="Verdana" w:hAnsi="Verdana"/>
          <w:bCs/>
        </w:rPr>
        <w:t>1-587</w:t>
      </w:r>
      <w:r w:rsidR="0034739F">
        <w:rPr>
          <w:rFonts w:ascii="Verdana" w:hAnsi="Verdana"/>
          <w:bCs/>
        </w:rPr>
        <w:t>20</w:t>
      </w:r>
      <w:r w:rsidR="00617823">
        <w:rPr>
          <w:rFonts w:ascii="Verdana" w:hAnsi="Verdana"/>
          <w:bCs/>
        </w:rPr>
        <w:t>-</w:t>
      </w:r>
      <w:r w:rsidR="007877CD">
        <w:rPr>
          <w:rFonts w:ascii="Verdana" w:hAnsi="Verdana"/>
          <w:bCs/>
        </w:rPr>
        <w:t>580-4</w:t>
      </w:r>
      <w:bookmarkEnd w:id="0"/>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1D2BEE" w14:paraId="52A3EC91" w14:textId="77777777" w:rsidTr="00543BA3">
        <w:tc>
          <w:tcPr>
            <w:tcW w:w="653" w:type="dxa"/>
          </w:tcPr>
          <w:p w14:paraId="42EC3B8F" w14:textId="77777777" w:rsidR="001D2BEE" w:rsidRDefault="001D2BEE"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7BB5B776" w14:textId="77777777" w:rsidR="001D2BEE" w:rsidRDefault="001D2BEE"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054C13E5" w14:textId="77777777" w:rsidR="001D2BEE" w:rsidRDefault="001D2BEE" w:rsidP="00F630F5">
            <w:pPr>
              <w:spacing w:after="120"/>
              <w:rPr>
                <w:rFonts w:ascii="Verdana" w:hAnsi="Verdana" w:cs="Courier New"/>
                <w:sz w:val="18"/>
                <w:szCs w:val="20"/>
              </w:rPr>
            </w:pPr>
            <w:r>
              <w:rPr>
                <w:rFonts w:ascii="Verdana" w:hAnsi="Verdana" w:cs="Courier New"/>
                <w:sz w:val="18"/>
                <w:szCs w:val="20"/>
              </w:rPr>
              <w:t>Correction</w:t>
            </w:r>
          </w:p>
        </w:tc>
      </w:tr>
      <w:tr w:rsidR="001B79D7" w14:paraId="63EB80E1" w14:textId="77777777" w:rsidTr="00543BA3">
        <w:tc>
          <w:tcPr>
            <w:tcW w:w="653" w:type="dxa"/>
          </w:tcPr>
          <w:p w14:paraId="57B18E99" w14:textId="6F357098" w:rsidR="001B79D7" w:rsidRDefault="001B79D7" w:rsidP="00F630F5">
            <w:pPr>
              <w:spacing w:after="120"/>
              <w:rPr>
                <w:rFonts w:ascii="Verdana" w:hAnsi="Verdana" w:cs="Courier New"/>
                <w:sz w:val="18"/>
                <w:szCs w:val="20"/>
              </w:rPr>
            </w:pPr>
            <w:r>
              <w:rPr>
                <w:rFonts w:ascii="Verdana" w:hAnsi="Verdana" w:cs="Courier New"/>
                <w:sz w:val="18"/>
                <w:szCs w:val="20"/>
              </w:rPr>
              <w:t>244</w:t>
            </w:r>
          </w:p>
        </w:tc>
        <w:tc>
          <w:tcPr>
            <w:tcW w:w="715" w:type="dxa"/>
          </w:tcPr>
          <w:p w14:paraId="51B86AFB" w14:textId="702D77DE" w:rsidR="001B79D7" w:rsidRDefault="001B79D7"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2AED1280" w14:textId="1B5C7B35" w:rsidR="001B79D7" w:rsidRPr="003E1471" w:rsidRDefault="001B79D7" w:rsidP="00A53AD3">
            <w:pPr>
              <w:spacing w:after="120"/>
              <w:rPr>
                <w:rFonts w:ascii="Verdana" w:hAnsi="Verdana" w:cs="Arial"/>
                <w:color w:val="222222"/>
                <w:sz w:val="18"/>
                <w:szCs w:val="18"/>
                <w:shd w:val="clear" w:color="auto" w:fill="FFFFFF"/>
              </w:rPr>
            </w:pPr>
            <w:r w:rsidRPr="003E1471">
              <w:rPr>
                <w:rFonts w:ascii="Verdana" w:hAnsi="Verdana" w:cs="Arial"/>
                <w:color w:val="222222"/>
                <w:sz w:val="18"/>
                <w:szCs w:val="18"/>
                <w:shd w:val="clear" w:color="auto" w:fill="FFFFFF"/>
              </w:rPr>
              <w:t>Question 5 – replace the 3</w:t>
            </w:r>
            <w:r w:rsidRPr="003E1471">
              <w:rPr>
                <w:rFonts w:ascii="Verdana" w:hAnsi="Verdana" w:cs="Arial"/>
                <w:color w:val="222222"/>
                <w:sz w:val="18"/>
                <w:szCs w:val="18"/>
                <w:shd w:val="clear" w:color="auto" w:fill="FFFFFF"/>
                <w:vertAlign w:val="superscript"/>
              </w:rPr>
              <w:t>rd</w:t>
            </w:r>
            <w:r w:rsidRPr="003E1471">
              <w:rPr>
                <w:rFonts w:ascii="Verdana" w:hAnsi="Verdana" w:cs="Arial"/>
                <w:color w:val="222222"/>
                <w:sz w:val="18"/>
                <w:szCs w:val="18"/>
                <w:shd w:val="clear" w:color="auto" w:fill="FFFFFF"/>
              </w:rPr>
              <w:t xml:space="preserve"> sentence with: “An engineer configures the</w:t>
            </w:r>
            <w:r w:rsidRPr="003E1471">
              <w:rPr>
                <w:rStyle w:val="apple-converted-space"/>
                <w:rFonts w:ascii="Verdana" w:hAnsi="Verdana" w:cs="Arial"/>
                <w:color w:val="222222"/>
                <w:sz w:val="18"/>
                <w:szCs w:val="18"/>
                <w:shd w:val="clear" w:color="auto" w:fill="FFFFFF"/>
              </w:rPr>
              <w:t> </w:t>
            </w:r>
            <w:proofErr w:type="spellStart"/>
            <w:r w:rsidRPr="003E1471">
              <w:rPr>
                <w:rStyle w:val="Strong"/>
                <w:rFonts w:ascii="Verdana" w:hAnsi="Verdana" w:cs="Arial"/>
                <w:color w:val="222222"/>
                <w:sz w:val="18"/>
                <w:szCs w:val="18"/>
              </w:rPr>
              <w:t>vlan</w:t>
            </w:r>
            <w:proofErr w:type="spellEnd"/>
            <w:r w:rsidRPr="003E1471">
              <w:rPr>
                <w:rStyle w:val="Strong"/>
                <w:rFonts w:ascii="Verdana" w:hAnsi="Verdana" w:cs="Arial"/>
                <w:color w:val="222222"/>
                <w:sz w:val="18"/>
                <w:szCs w:val="18"/>
              </w:rPr>
              <w:t xml:space="preserve"> 22</w:t>
            </w:r>
            <w:r w:rsidRPr="003E1471">
              <w:rPr>
                <w:rStyle w:val="apple-converted-space"/>
                <w:rFonts w:ascii="Verdana" w:hAnsi="Verdana" w:cs="Arial"/>
                <w:color w:val="222222"/>
                <w:sz w:val="18"/>
                <w:szCs w:val="18"/>
                <w:shd w:val="clear" w:color="auto" w:fill="FFFFFF"/>
              </w:rPr>
              <w:t> </w:t>
            </w:r>
            <w:r w:rsidRPr="003E1471">
              <w:rPr>
                <w:rFonts w:ascii="Verdana" w:hAnsi="Verdana" w:cs="Arial"/>
                <w:color w:val="222222"/>
                <w:sz w:val="18"/>
                <w:szCs w:val="18"/>
                <w:shd w:val="clear" w:color="auto" w:fill="FFFFFF"/>
              </w:rPr>
              <w:t>and</w:t>
            </w:r>
            <w:r w:rsidRPr="003E1471">
              <w:rPr>
                <w:rStyle w:val="apple-converted-space"/>
                <w:rFonts w:ascii="Verdana" w:hAnsi="Verdana" w:cs="Arial"/>
                <w:color w:val="222222"/>
                <w:sz w:val="18"/>
                <w:szCs w:val="18"/>
                <w:shd w:val="clear" w:color="auto" w:fill="FFFFFF"/>
              </w:rPr>
              <w:t> </w:t>
            </w:r>
            <w:r w:rsidRPr="003E1471">
              <w:rPr>
                <w:rStyle w:val="Strong"/>
                <w:rFonts w:ascii="Verdana" w:hAnsi="Verdana" w:cs="Arial"/>
                <w:color w:val="222222"/>
                <w:sz w:val="18"/>
                <w:szCs w:val="18"/>
              </w:rPr>
              <w:t xml:space="preserve">name </w:t>
            </w:r>
            <w:proofErr w:type="spellStart"/>
            <w:r w:rsidRPr="003E1471">
              <w:rPr>
                <w:rStyle w:val="Strong"/>
                <w:rFonts w:ascii="Verdana" w:hAnsi="Verdana" w:cs="Arial"/>
                <w:color w:val="222222"/>
                <w:sz w:val="18"/>
                <w:szCs w:val="18"/>
              </w:rPr>
              <w:t>Hannahs</w:t>
            </w:r>
            <w:proofErr w:type="spellEnd"/>
            <w:r w:rsidRPr="003E1471">
              <w:rPr>
                <w:rStyle w:val="Strong"/>
                <w:rFonts w:ascii="Verdana" w:hAnsi="Verdana" w:cs="Arial"/>
                <w:color w:val="222222"/>
                <w:sz w:val="18"/>
                <w:szCs w:val="18"/>
              </w:rPr>
              <w:t>-VLAN</w:t>
            </w:r>
            <w:r w:rsidRPr="003E1471">
              <w:rPr>
                <w:rStyle w:val="apple-converted-space"/>
                <w:rFonts w:ascii="Verdana" w:hAnsi="Verdana" w:cs="Arial"/>
                <w:color w:val="222222"/>
                <w:sz w:val="18"/>
                <w:szCs w:val="18"/>
                <w:shd w:val="clear" w:color="auto" w:fill="FFFFFF"/>
              </w:rPr>
              <w:t> </w:t>
            </w:r>
            <w:r w:rsidRPr="003E1471">
              <w:rPr>
                <w:rFonts w:ascii="Verdana" w:hAnsi="Verdana" w:cs="Arial"/>
                <w:color w:val="222222"/>
                <w:sz w:val="18"/>
                <w:szCs w:val="18"/>
                <w:shd w:val="clear" w:color="auto" w:fill="FFFFFF"/>
              </w:rPr>
              <w:t>commands, and then exits configuration mode.”</w:t>
            </w:r>
          </w:p>
        </w:tc>
      </w:tr>
      <w:tr w:rsidR="001B79D7" w14:paraId="1183C3C1" w14:textId="77777777" w:rsidTr="00543BA3">
        <w:tc>
          <w:tcPr>
            <w:tcW w:w="653" w:type="dxa"/>
          </w:tcPr>
          <w:p w14:paraId="5CBC2369" w14:textId="45EF67F6" w:rsidR="001B79D7" w:rsidRDefault="001B79D7" w:rsidP="00F630F5">
            <w:pPr>
              <w:spacing w:after="120"/>
              <w:rPr>
                <w:rFonts w:ascii="Verdana" w:hAnsi="Verdana" w:cs="Courier New"/>
                <w:sz w:val="18"/>
                <w:szCs w:val="20"/>
              </w:rPr>
            </w:pPr>
            <w:r>
              <w:rPr>
                <w:rFonts w:ascii="Verdana" w:hAnsi="Verdana" w:cs="Courier New"/>
                <w:sz w:val="18"/>
                <w:szCs w:val="20"/>
              </w:rPr>
              <w:t>287</w:t>
            </w:r>
          </w:p>
        </w:tc>
        <w:tc>
          <w:tcPr>
            <w:tcW w:w="715" w:type="dxa"/>
          </w:tcPr>
          <w:p w14:paraId="38A74DA9" w14:textId="0C741BB1" w:rsidR="001B79D7" w:rsidRDefault="001B79D7"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055B100F" w14:textId="5D57082D" w:rsidR="001B79D7" w:rsidRPr="003E1471" w:rsidRDefault="001B79D7" w:rsidP="00A53AD3">
            <w:pPr>
              <w:spacing w:after="120"/>
              <w:rPr>
                <w:rFonts w:ascii="Verdana" w:hAnsi="Verdana" w:cs="Arial"/>
                <w:color w:val="222222"/>
                <w:sz w:val="18"/>
                <w:szCs w:val="18"/>
                <w:shd w:val="clear" w:color="auto" w:fill="FFFFFF"/>
              </w:rPr>
            </w:pPr>
            <w:r>
              <w:rPr>
                <w:rFonts w:ascii="Verdana" w:hAnsi="Verdana" w:cs="Courier New"/>
                <w:sz w:val="18"/>
                <w:szCs w:val="20"/>
              </w:rPr>
              <w:t>Bottom of page, last line (step 2A) – change “secure-down” to “secure-shutdown”.</w:t>
            </w:r>
          </w:p>
        </w:tc>
      </w:tr>
      <w:tr w:rsidR="001B79D7" w14:paraId="455D0E3F" w14:textId="77777777" w:rsidTr="00543BA3">
        <w:tc>
          <w:tcPr>
            <w:tcW w:w="653" w:type="dxa"/>
          </w:tcPr>
          <w:p w14:paraId="06F96E5A" w14:textId="6EE18CFF" w:rsidR="001B79D7" w:rsidRDefault="001B79D7" w:rsidP="00F630F5">
            <w:pPr>
              <w:spacing w:after="120"/>
              <w:rPr>
                <w:rFonts w:ascii="Verdana" w:hAnsi="Verdana" w:cs="Courier New"/>
                <w:sz w:val="18"/>
                <w:szCs w:val="20"/>
              </w:rPr>
            </w:pPr>
            <w:r>
              <w:rPr>
                <w:rFonts w:ascii="Verdana" w:hAnsi="Verdana" w:cs="Courier New"/>
                <w:sz w:val="18"/>
                <w:szCs w:val="20"/>
              </w:rPr>
              <w:t>289</w:t>
            </w:r>
          </w:p>
        </w:tc>
        <w:tc>
          <w:tcPr>
            <w:tcW w:w="715" w:type="dxa"/>
          </w:tcPr>
          <w:p w14:paraId="2A0B1EC1" w14:textId="5DEB0CFE" w:rsidR="001B79D7" w:rsidRDefault="001B79D7"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07A7A477" w14:textId="1D5E5DF1" w:rsidR="001B79D7" w:rsidRPr="003E1471" w:rsidRDefault="001B79D7" w:rsidP="00A53AD3">
            <w:pPr>
              <w:spacing w:after="120"/>
              <w:rPr>
                <w:rFonts w:ascii="Verdana" w:hAnsi="Verdana" w:cs="Arial"/>
                <w:color w:val="222222"/>
                <w:sz w:val="18"/>
                <w:szCs w:val="18"/>
                <w:shd w:val="clear" w:color="auto" w:fill="FFFFFF"/>
              </w:rPr>
            </w:pPr>
            <w:r>
              <w:rPr>
                <w:rFonts w:ascii="Verdana" w:hAnsi="Verdana" w:cs="Courier New"/>
                <w:sz w:val="18"/>
                <w:szCs w:val="20"/>
              </w:rPr>
              <w:t xml:space="preserve">Figure 12-6 – text “10 </w:t>
            </w:r>
            <w:proofErr w:type="spellStart"/>
            <w:r>
              <w:rPr>
                <w:rFonts w:ascii="Verdana" w:hAnsi="Verdana" w:cs="Courier New"/>
                <w:sz w:val="18"/>
                <w:szCs w:val="20"/>
              </w:rPr>
              <w:t>Msgs</w:t>
            </w:r>
            <w:proofErr w:type="spellEnd"/>
            <w:r>
              <w:rPr>
                <w:rFonts w:ascii="Verdana" w:hAnsi="Verdana" w:cs="Courier New"/>
                <w:sz w:val="18"/>
                <w:szCs w:val="20"/>
              </w:rPr>
              <w:t xml:space="preserve">” should instead be “1 </w:t>
            </w:r>
            <w:proofErr w:type="spellStart"/>
            <w:r>
              <w:rPr>
                <w:rFonts w:ascii="Verdana" w:hAnsi="Verdana" w:cs="Courier New"/>
                <w:sz w:val="18"/>
                <w:szCs w:val="20"/>
              </w:rPr>
              <w:t>Msg</w:t>
            </w:r>
            <w:proofErr w:type="spellEnd"/>
            <w:r>
              <w:rPr>
                <w:rFonts w:ascii="Verdana" w:hAnsi="Verdana" w:cs="Courier New"/>
                <w:sz w:val="18"/>
                <w:szCs w:val="20"/>
              </w:rPr>
              <w:t>”.</w:t>
            </w:r>
          </w:p>
        </w:tc>
      </w:tr>
      <w:tr w:rsidR="001B79D7" w14:paraId="21C33341" w14:textId="77777777" w:rsidTr="00543BA3">
        <w:tc>
          <w:tcPr>
            <w:tcW w:w="653" w:type="dxa"/>
          </w:tcPr>
          <w:p w14:paraId="1DF85663" w14:textId="4846AF15" w:rsidR="001B79D7" w:rsidRDefault="001B79D7" w:rsidP="00F630F5">
            <w:pPr>
              <w:spacing w:after="120"/>
              <w:rPr>
                <w:rFonts w:ascii="Verdana" w:hAnsi="Verdana" w:cs="Courier New"/>
                <w:sz w:val="18"/>
                <w:szCs w:val="20"/>
              </w:rPr>
            </w:pPr>
            <w:r>
              <w:rPr>
                <w:rFonts w:ascii="Verdana" w:hAnsi="Verdana" w:cs="Courier New"/>
                <w:sz w:val="18"/>
                <w:szCs w:val="20"/>
              </w:rPr>
              <w:t>398</w:t>
            </w:r>
          </w:p>
        </w:tc>
        <w:tc>
          <w:tcPr>
            <w:tcW w:w="715" w:type="dxa"/>
          </w:tcPr>
          <w:p w14:paraId="5B16E316" w14:textId="5AB78BDF" w:rsidR="001B79D7" w:rsidRDefault="001B79D7"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1812BC01" w14:textId="4E7DE2A5" w:rsidR="001B79D7" w:rsidRPr="003E1471" w:rsidRDefault="001B79D7" w:rsidP="00A53AD3">
            <w:pPr>
              <w:spacing w:after="120"/>
              <w:rPr>
                <w:rFonts w:ascii="Verdana" w:hAnsi="Verdana" w:cs="Arial"/>
                <w:color w:val="222222"/>
                <w:sz w:val="18"/>
                <w:szCs w:val="18"/>
                <w:shd w:val="clear" w:color="auto" w:fill="FFFFFF"/>
              </w:rPr>
            </w:pPr>
            <w:r>
              <w:rPr>
                <w:rFonts w:ascii="Verdana" w:hAnsi="Verdana" w:cs="Courier New"/>
                <w:sz w:val="18"/>
                <w:szCs w:val="20"/>
              </w:rPr>
              <w:t>1</w:t>
            </w:r>
            <w:r w:rsidRPr="006E3B1A">
              <w:rPr>
                <w:rFonts w:ascii="Verdana" w:hAnsi="Verdana" w:cs="Courier New"/>
                <w:sz w:val="18"/>
                <w:szCs w:val="20"/>
                <w:vertAlign w:val="superscript"/>
              </w:rPr>
              <w:t>st</w:t>
            </w:r>
            <w:r>
              <w:rPr>
                <w:rFonts w:ascii="Verdana" w:hAnsi="Verdana" w:cs="Courier New"/>
                <w:sz w:val="18"/>
                <w:szCs w:val="20"/>
              </w:rPr>
              <w:t xml:space="preserve"> of 2 indented paragraphs – 2</w:t>
            </w:r>
            <w:r w:rsidRPr="006E3B1A">
              <w:rPr>
                <w:rFonts w:ascii="Verdana" w:hAnsi="Verdana" w:cs="Courier New"/>
                <w:sz w:val="18"/>
                <w:szCs w:val="20"/>
                <w:vertAlign w:val="superscript"/>
              </w:rPr>
              <w:t>nd</w:t>
            </w:r>
            <w:r>
              <w:rPr>
                <w:rFonts w:ascii="Verdana" w:hAnsi="Verdana" w:cs="Courier New"/>
                <w:sz w:val="18"/>
                <w:szCs w:val="20"/>
              </w:rPr>
              <w:t xml:space="preserve"> line – in the command, remove “</w:t>
            </w:r>
            <w:r w:rsidRPr="006E3B1A">
              <w:rPr>
                <w:rFonts w:ascii="Verdana" w:hAnsi="Verdana" w:cs="Courier New"/>
                <w:i/>
                <w:sz w:val="18"/>
                <w:szCs w:val="20"/>
              </w:rPr>
              <w:t>type</w:t>
            </w:r>
            <w:r>
              <w:rPr>
                <w:rFonts w:ascii="Verdana" w:hAnsi="Verdana" w:cs="Courier New"/>
                <w:sz w:val="18"/>
                <w:szCs w:val="20"/>
              </w:rPr>
              <w:t>”.</w:t>
            </w:r>
          </w:p>
        </w:tc>
      </w:tr>
      <w:tr w:rsidR="001B79D7" w14:paraId="25B64B5A" w14:textId="77777777" w:rsidTr="00543BA3">
        <w:tc>
          <w:tcPr>
            <w:tcW w:w="653" w:type="dxa"/>
          </w:tcPr>
          <w:p w14:paraId="589203A0" w14:textId="4E6CBEB7" w:rsidR="001B79D7" w:rsidRDefault="001B79D7" w:rsidP="00F630F5">
            <w:pPr>
              <w:spacing w:after="120"/>
              <w:rPr>
                <w:rFonts w:ascii="Verdana" w:hAnsi="Verdana" w:cs="Courier New"/>
                <w:sz w:val="18"/>
                <w:szCs w:val="20"/>
              </w:rPr>
            </w:pPr>
            <w:r>
              <w:rPr>
                <w:rFonts w:ascii="Verdana" w:hAnsi="Verdana" w:cs="Courier New"/>
                <w:sz w:val="18"/>
                <w:szCs w:val="20"/>
              </w:rPr>
              <w:t>455</w:t>
            </w:r>
          </w:p>
        </w:tc>
        <w:tc>
          <w:tcPr>
            <w:tcW w:w="715" w:type="dxa"/>
          </w:tcPr>
          <w:p w14:paraId="74A2081C" w14:textId="3CDD461A" w:rsidR="001B79D7" w:rsidRDefault="001B79D7"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071E0519" w14:textId="0FD72233" w:rsidR="001B79D7" w:rsidRPr="003E1471" w:rsidRDefault="001B79D7" w:rsidP="00A53AD3">
            <w:pPr>
              <w:spacing w:after="120"/>
              <w:rPr>
                <w:rFonts w:ascii="Verdana" w:hAnsi="Verdana" w:cs="Arial"/>
                <w:color w:val="222222"/>
                <w:sz w:val="18"/>
                <w:szCs w:val="18"/>
                <w:shd w:val="clear" w:color="auto" w:fill="FFFFFF"/>
              </w:rPr>
            </w:pPr>
            <w:r>
              <w:rPr>
                <w:rFonts w:ascii="Verdana" w:hAnsi="Verdana" w:cs="Courier New"/>
                <w:sz w:val="18"/>
                <w:szCs w:val="20"/>
              </w:rPr>
              <w:t>2</w:t>
            </w:r>
            <w:r w:rsidRPr="00CE3791">
              <w:rPr>
                <w:rFonts w:ascii="Verdana" w:hAnsi="Verdana" w:cs="Courier New"/>
                <w:sz w:val="18"/>
                <w:szCs w:val="20"/>
                <w:vertAlign w:val="superscript"/>
              </w:rPr>
              <w:t>nd</w:t>
            </w:r>
            <w:r>
              <w:rPr>
                <w:rFonts w:ascii="Verdana" w:hAnsi="Verdana" w:cs="Courier New"/>
                <w:sz w:val="18"/>
                <w:szCs w:val="20"/>
              </w:rPr>
              <w:t xml:space="preserve"> to last paragraph – last line – change “172.16.0.0” to “10.0.0.0”.</w:t>
            </w:r>
          </w:p>
        </w:tc>
      </w:tr>
      <w:tr w:rsidR="001B79D7" w14:paraId="12077DD3" w14:textId="77777777" w:rsidTr="00543BA3">
        <w:tc>
          <w:tcPr>
            <w:tcW w:w="653" w:type="dxa"/>
          </w:tcPr>
          <w:p w14:paraId="5D75892B" w14:textId="4B47AE55" w:rsidR="001B79D7" w:rsidRDefault="001B79D7" w:rsidP="00F630F5">
            <w:pPr>
              <w:spacing w:after="120"/>
              <w:rPr>
                <w:rFonts w:ascii="Verdana" w:hAnsi="Verdana" w:cs="Courier New"/>
                <w:sz w:val="18"/>
                <w:szCs w:val="20"/>
              </w:rPr>
            </w:pPr>
            <w:r>
              <w:rPr>
                <w:rFonts w:ascii="Verdana" w:hAnsi="Verdana" w:cs="Courier New"/>
                <w:sz w:val="18"/>
                <w:szCs w:val="20"/>
              </w:rPr>
              <w:t>456</w:t>
            </w:r>
          </w:p>
        </w:tc>
        <w:tc>
          <w:tcPr>
            <w:tcW w:w="715" w:type="dxa"/>
          </w:tcPr>
          <w:p w14:paraId="011C2FC9" w14:textId="17F7C860" w:rsidR="001B79D7" w:rsidRDefault="001B79D7"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3161DA7B" w14:textId="17CEC805" w:rsidR="001B79D7" w:rsidRPr="003E1471" w:rsidRDefault="001B79D7" w:rsidP="00A53AD3">
            <w:pPr>
              <w:spacing w:after="120"/>
              <w:rPr>
                <w:rFonts w:ascii="Verdana" w:hAnsi="Verdana" w:cs="Arial"/>
                <w:color w:val="222222"/>
                <w:sz w:val="18"/>
                <w:szCs w:val="18"/>
                <w:shd w:val="clear" w:color="auto" w:fill="FFFFFF"/>
              </w:rPr>
            </w:pPr>
            <w:r>
              <w:rPr>
                <w:rFonts w:ascii="Verdana" w:hAnsi="Verdana" w:cs="Courier New"/>
                <w:sz w:val="18"/>
                <w:szCs w:val="20"/>
              </w:rPr>
              <w:t>Example 19-9 – change both command prompts of “R2#” to “R1#”.</w:t>
            </w:r>
          </w:p>
        </w:tc>
      </w:tr>
      <w:tr w:rsidR="00C66C39" w14:paraId="5C63CB64" w14:textId="77777777" w:rsidTr="00543BA3">
        <w:tc>
          <w:tcPr>
            <w:tcW w:w="653" w:type="dxa"/>
          </w:tcPr>
          <w:p w14:paraId="4472BE2A" w14:textId="24EF0134" w:rsidR="00C66C39" w:rsidRDefault="00C66C39" w:rsidP="00F630F5">
            <w:pPr>
              <w:spacing w:after="120"/>
              <w:rPr>
                <w:rFonts w:ascii="Verdana" w:hAnsi="Verdana" w:cs="Courier New"/>
                <w:sz w:val="18"/>
                <w:szCs w:val="20"/>
              </w:rPr>
            </w:pPr>
            <w:r>
              <w:rPr>
                <w:rFonts w:ascii="Verdana" w:hAnsi="Verdana" w:cs="Courier New"/>
                <w:sz w:val="18"/>
                <w:szCs w:val="20"/>
              </w:rPr>
              <w:t>719</w:t>
            </w:r>
          </w:p>
        </w:tc>
        <w:tc>
          <w:tcPr>
            <w:tcW w:w="715" w:type="dxa"/>
          </w:tcPr>
          <w:p w14:paraId="00F61D6D" w14:textId="000DE57C" w:rsidR="00C66C39" w:rsidRDefault="00C66C39"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7CD39764" w14:textId="3029855D" w:rsidR="00C66C39" w:rsidRPr="003E1471" w:rsidRDefault="00C66C39" w:rsidP="00A53AD3">
            <w:pPr>
              <w:spacing w:after="120"/>
              <w:rPr>
                <w:rFonts w:ascii="Verdana" w:hAnsi="Verdana" w:cs="Arial"/>
                <w:color w:val="222222"/>
                <w:sz w:val="18"/>
                <w:szCs w:val="18"/>
                <w:shd w:val="clear" w:color="auto" w:fill="FFFFFF"/>
              </w:rPr>
            </w:pPr>
            <w:r>
              <w:rPr>
                <w:rFonts w:ascii="Verdana" w:hAnsi="Verdana" w:cs="Courier New"/>
                <w:sz w:val="18"/>
                <w:szCs w:val="20"/>
              </w:rPr>
              <w:t>2</w:t>
            </w:r>
            <w:r w:rsidRPr="00705DF8">
              <w:rPr>
                <w:rFonts w:ascii="Verdana" w:hAnsi="Verdana" w:cs="Courier New"/>
                <w:sz w:val="18"/>
                <w:szCs w:val="20"/>
                <w:vertAlign w:val="superscript"/>
              </w:rPr>
              <w:t>nd</w:t>
            </w:r>
            <w:r>
              <w:rPr>
                <w:rFonts w:ascii="Verdana" w:hAnsi="Verdana" w:cs="Courier New"/>
                <w:sz w:val="18"/>
                <w:szCs w:val="20"/>
              </w:rPr>
              <w:t xml:space="preserve"> to last paragraph – end of 2</w:t>
            </w:r>
            <w:r w:rsidRPr="00705DF8">
              <w:rPr>
                <w:rFonts w:ascii="Verdana" w:hAnsi="Verdana" w:cs="Courier New"/>
                <w:sz w:val="18"/>
                <w:szCs w:val="20"/>
                <w:vertAlign w:val="superscript"/>
              </w:rPr>
              <w:t>nd</w:t>
            </w:r>
            <w:r>
              <w:rPr>
                <w:rFonts w:ascii="Verdana" w:hAnsi="Verdana" w:cs="Courier New"/>
                <w:sz w:val="18"/>
                <w:szCs w:val="20"/>
              </w:rPr>
              <w:t xml:space="preserve"> line – “…</w:t>
            </w:r>
            <w:r w:rsidRPr="00705DF8">
              <w:rPr>
                <w:rFonts w:ascii="Verdana" w:hAnsi="Verdana" w:cs="Courier New"/>
                <w:sz w:val="18"/>
                <w:szCs w:val="20"/>
                <w:highlight w:val="yellow"/>
              </w:rPr>
              <w:t>FF08</w:t>
            </w:r>
            <w:r>
              <w:rPr>
                <w:rFonts w:ascii="Verdana" w:hAnsi="Verdana" w:cs="Courier New"/>
                <w:sz w:val="18"/>
                <w:szCs w:val="20"/>
              </w:rPr>
              <w:t xml:space="preserve"> (</w:t>
            </w:r>
            <w:r w:rsidRPr="00705DF8">
              <w:rPr>
                <w:rFonts w:ascii="Verdana" w:hAnsi="Verdana" w:cs="Courier New"/>
                <w:sz w:val="18"/>
                <w:szCs w:val="20"/>
                <w:highlight w:val="yellow"/>
              </w:rPr>
              <w:t>FF08</w:t>
            </w:r>
            <w:r>
              <w:rPr>
                <w:rFonts w:ascii="Verdana" w:hAnsi="Verdana" w:cs="Courier New"/>
                <w:sz w:val="18"/>
                <w:szCs w:val="20"/>
              </w:rPr>
              <w:t>:</w:t>
            </w:r>
            <w:proofErr w:type="gramStart"/>
            <w:r>
              <w:rPr>
                <w:rFonts w:ascii="Verdana" w:hAnsi="Verdana" w:cs="Courier New"/>
                <w:sz w:val="18"/>
                <w:szCs w:val="20"/>
              </w:rPr>
              <w:t>:/</w:t>
            </w:r>
            <w:proofErr w:type="gramEnd"/>
            <w:r>
              <w:rPr>
                <w:rFonts w:ascii="Verdana" w:hAnsi="Verdana" w:cs="Courier New"/>
                <w:sz w:val="18"/>
                <w:szCs w:val="20"/>
              </w:rPr>
              <w:t>16) should be “</w:t>
            </w:r>
            <w:r w:rsidRPr="00705DF8">
              <w:rPr>
                <w:rFonts w:ascii="Verdana" w:hAnsi="Verdana" w:cs="Courier New"/>
                <w:sz w:val="18"/>
                <w:szCs w:val="20"/>
                <w:highlight w:val="yellow"/>
              </w:rPr>
              <w:t>FF02</w:t>
            </w:r>
            <w:r>
              <w:rPr>
                <w:rFonts w:ascii="Verdana" w:hAnsi="Verdana" w:cs="Courier New"/>
                <w:sz w:val="18"/>
                <w:szCs w:val="20"/>
              </w:rPr>
              <w:t xml:space="preserve"> (</w:t>
            </w:r>
            <w:r w:rsidRPr="00705DF8">
              <w:rPr>
                <w:rFonts w:ascii="Verdana" w:hAnsi="Verdana" w:cs="Courier New"/>
                <w:sz w:val="18"/>
                <w:szCs w:val="20"/>
                <w:highlight w:val="yellow"/>
              </w:rPr>
              <w:t>FF02</w:t>
            </w:r>
            <w:r>
              <w:rPr>
                <w:rFonts w:ascii="Verdana" w:hAnsi="Verdana" w:cs="Courier New"/>
                <w:sz w:val="18"/>
                <w:szCs w:val="20"/>
              </w:rPr>
              <w:t>::/16)”. Line 6 in the same paragraph, the similar text should begin FF08 in both places so it reads: “</w:t>
            </w:r>
            <w:r w:rsidRPr="00705DF8">
              <w:rPr>
                <w:rFonts w:ascii="Verdana" w:hAnsi="Verdana" w:cs="Courier New"/>
                <w:sz w:val="18"/>
                <w:szCs w:val="20"/>
                <w:highlight w:val="yellow"/>
              </w:rPr>
              <w:t>FF0</w:t>
            </w:r>
            <w:r>
              <w:rPr>
                <w:rFonts w:ascii="Verdana" w:hAnsi="Verdana" w:cs="Courier New"/>
                <w:sz w:val="18"/>
                <w:szCs w:val="20"/>
                <w:highlight w:val="yellow"/>
              </w:rPr>
              <w:t>8</w:t>
            </w:r>
            <w:r>
              <w:rPr>
                <w:rFonts w:ascii="Verdana" w:hAnsi="Verdana" w:cs="Courier New"/>
                <w:sz w:val="18"/>
                <w:szCs w:val="20"/>
              </w:rPr>
              <w:t xml:space="preserve"> (</w:t>
            </w:r>
            <w:r w:rsidRPr="00705DF8">
              <w:rPr>
                <w:rFonts w:ascii="Verdana" w:hAnsi="Verdana" w:cs="Courier New"/>
                <w:sz w:val="18"/>
                <w:szCs w:val="20"/>
                <w:highlight w:val="yellow"/>
              </w:rPr>
              <w:t>FF0</w:t>
            </w:r>
            <w:r>
              <w:rPr>
                <w:rFonts w:ascii="Verdana" w:hAnsi="Verdana" w:cs="Courier New"/>
                <w:sz w:val="18"/>
                <w:szCs w:val="20"/>
                <w:highlight w:val="yellow"/>
              </w:rPr>
              <w:t>8</w:t>
            </w:r>
            <w:r>
              <w:rPr>
                <w:rFonts w:ascii="Verdana" w:hAnsi="Verdana" w:cs="Courier New"/>
                <w:sz w:val="18"/>
                <w:szCs w:val="20"/>
              </w:rPr>
              <w:t>:</w:t>
            </w:r>
            <w:proofErr w:type="gramStart"/>
            <w:r>
              <w:rPr>
                <w:rFonts w:ascii="Verdana" w:hAnsi="Verdana" w:cs="Courier New"/>
                <w:sz w:val="18"/>
                <w:szCs w:val="20"/>
              </w:rPr>
              <w:t>:/</w:t>
            </w:r>
            <w:proofErr w:type="gramEnd"/>
            <w:r>
              <w:rPr>
                <w:rFonts w:ascii="Verdana" w:hAnsi="Verdana" w:cs="Courier New"/>
                <w:sz w:val="18"/>
                <w:szCs w:val="20"/>
              </w:rPr>
              <w:t>16)”. (Explanation: organization-local scope multicasts begin FF08, and link-local scope multicasts begin FF02.)</w:t>
            </w:r>
          </w:p>
        </w:tc>
      </w:tr>
      <w:tr w:rsidR="00543BA3" w14:paraId="1F37CA39" w14:textId="77777777" w:rsidTr="00543BA3">
        <w:tc>
          <w:tcPr>
            <w:tcW w:w="653" w:type="dxa"/>
          </w:tcPr>
          <w:p w14:paraId="2329A380" w14:textId="0C26786B" w:rsidR="00543BA3" w:rsidRDefault="00543BA3" w:rsidP="00F630F5">
            <w:pPr>
              <w:spacing w:after="120"/>
              <w:rPr>
                <w:rFonts w:ascii="Verdana" w:hAnsi="Verdana" w:cs="Courier New"/>
                <w:sz w:val="18"/>
                <w:szCs w:val="20"/>
              </w:rPr>
            </w:pPr>
            <w:r>
              <w:rPr>
                <w:rFonts w:ascii="Verdana" w:hAnsi="Verdana" w:cs="Courier New"/>
                <w:sz w:val="18"/>
                <w:szCs w:val="20"/>
              </w:rPr>
              <w:t>829</w:t>
            </w:r>
          </w:p>
        </w:tc>
        <w:tc>
          <w:tcPr>
            <w:tcW w:w="715" w:type="dxa"/>
          </w:tcPr>
          <w:p w14:paraId="0F722E2F" w14:textId="3AE64FED" w:rsidR="00543BA3" w:rsidRDefault="00543BA3" w:rsidP="00C8575E">
            <w:pPr>
              <w:spacing w:after="120"/>
              <w:rPr>
                <w:rFonts w:ascii="Verdana" w:hAnsi="Verdana" w:cs="Courier New"/>
                <w:sz w:val="18"/>
                <w:szCs w:val="20"/>
              </w:rPr>
            </w:pPr>
            <w:r>
              <w:rPr>
                <w:rFonts w:ascii="Verdana" w:hAnsi="Verdana" w:cs="Courier New"/>
                <w:sz w:val="18"/>
                <w:szCs w:val="20"/>
              </w:rPr>
              <w:t>6</w:t>
            </w:r>
          </w:p>
        </w:tc>
        <w:tc>
          <w:tcPr>
            <w:tcW w:w="8010" w:type="dxa"/>
          </w:tcPr>
          <w:p w14:paraId="2A627BE5" w14:textId="309513A3" w:rsidR="00543BA3" w:rsidRDefault="00543BA3" w:rsidP="0026049E">
            <w:pPr>
              <w:spacing w:after="120"/>
              <w:rPr>
                <w:rFonts w:ascii="Verdana" w:hAnsi="Verdana" w:cs="Courier New"/>
                <w:sz w:val="18"/>
                <w:szCs w:val="20"/>
              </w:rPr>
            </w:pPr>
            <w:r>
              <w:rPr>
                <w:rFonts w:ascii="Verdana" w:hAnsi="Verdana" w:cs="Courier New"/>
                <w:sz w:val="18"/>
                <w:szCs w:val="20"/>
              </w:rPr>
              <w:t>1</w:t>
            </w:r>
            <w:r w:rsidRPr="0008554E">
              <w:rPr>
                <w:rFonts w:ascii="Verdana" w:hAnsi="Verdana" w:cs="Courier New"/>
                <w:sz w:val="18"/>
                <w:szCs w:val="20"/>
                <w:vertAlign w:val="superscript"/>
              </w:rPr>
              <w:t>st</w:t>
            </w:r>
            <w:r>
              <w:rPr>
                <w:rFonts w:ascii="Verdana" w:hAnsi="Verdana" w:cs="Courier New"/>
                <w:sz w:val="18"/>
                <w:szCs w:val="20"/>
              </w:rPr>
              <w:t xml:space="preserve"> bullet in 2-bullet list – bold text – “</w:t>
            </w:r>
            <w:r w:rsidRPr="0008554E">
              <w:rPr>
                <w:rFonts w:ascii="Verdana" w:hAnsi="Verdana" w:cs="Courier New"/>
                <w:b/>
                <w:sz w:val="18"/>
                <w:szCs w:val="20"/>
              </w:rPr>
              <w:t>privilege-level</w:t>
            </w:r>
            <w:r>
              <w:rPr>
                <w:rFonts w:ascii="Verdana" w:hAnsi="Verdana" w:cs="Courier New"/>
                <w:sz w:val="18"/>
                <w:szCs w:val="20"/>
              </w:rPr>
              <w:t>” should be “</w:t>
            </w:r>
            <w:r w:rsidRPr="0008554E">
              <w:rPr>
                <w:rFonts w:ascii="Verdana" w:hAnsi="Verdana" w:cs="Courier New"/>
                <w:b/>
                <w:sz w:val="18"/>
                <w:szCs w:val="20"/>
              </w:rPr>
              <w:t>privilege</w:t>
            </w:r>
            <w:r>
              <w:rPr>
                <w:rFonts w:ascii="Verdana" w:hAnsi="Verdana" w:cs="Courier New"/>
                <w:sz w:val="18"/>
                <w:szCs w:val="20"/>
              </w:rPr>
              <w:t>”.</w:t>
            </w:r>
          </w:p>
        </w:tc>
      </w:tr>
      <w:tr w:rsidR="001D2BEE" w14:paraId="4C6FAE5F" w14:textId="77777777" w:rsidTr="00543BA3">
        <w:tc>
          <w:tcPr>
            <w:tcW w:w="653" w:type="dxa"/>
          </w:tcPr>
          <w:p w14:paraId="68F321B0" w14:textId="77777777" w:rsidR="001D2BEE" w:rsidRDefault="001D2BEE" w:rsidP="00F630F5">
            <w:pPr>
              <w:spacing w:after="120"/>
              <w:rPr>
                <w:rFonts w:ascii="Verdana" w:hAnsi="Verdana" w:cs="Courier New"/>
                <w:sz w:val="18"/>
                <w:szCs w:val="20"/>
              </w:rPr>
            </w:pPr>
            <w:r>
              <w:rPr>
                <w:rFonts w:ascii="Verdana" w:hAnsi="Verdana" w:cs="Courier New"/>
                <w:sz w:val="18"/>
                <w:szCs w:val="20"/>
              </w:rPr>
              <w:t>559</w:t>
            </w:r>
          </w:p>
        </w:tc>
        <w:tc>
          <w:tcPr>
            <w:tcW w:w="715" w:type="dxa"/>
          </w:tcPr>
          <w:p w14:paraId="526058DE" w14:textId="46C41959" w:rsidR="001D2BEE" w:rsidRDefault="001B79D7"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553E271F" w14:textId="77777777" w:rsidR="001D2BEE" w:rsidRDefault="001D2BEE" w:rsidP="0026049E">
            <w:pPr>
              <w:spacing w:after="120"/>
              <w:rPr>
                <w:rFonts w:ascii="Verdana" w:hAnsi="Verdana" w:cs="Courier New"/>
                <w:sz w:val="18"/>
                <w:szCs w:val="20"/>
              </w:rPr>
            </w:pPr>
            <w:r>
              <w:rPr>
                <w:rFonts w:ascii="Verdana" w:hAnsi="Verdana" w:cs="Courier New"/>
                <w:sz w:val="18"/>
                <w:szCs w:val="20"/>
              </w:rPr>
              <w:t>Line just above Figure 23-17 – “…10.1.3.</w:t>
            </w:r>
            <w:r w:rsidRPr="00734D89">
              <w:rPr>
                <w:rFonts w:ascii="Verdana" w:hAnsi="Verdana" w:cs="Courier New"/>
                <w:sz w:val="18"/>
                <w:szCs w:val="20"/>
                <w:highlight w:val="yellow"/>
              </w:rPr>
              <w:t>2</w:t>
            </w:r>
            <w:r>
              <w:rPr>
                <w:rFonts w:ascii="Verdana" w:hAnsi="Verdana" w:cs="Courier New"/>
                <w:sz w:val="18"/>
                <w:szCs w:val="20"/>
              </w:rPr>
              <w:t xml:space="preserve"> (R3) fails.”  - should list address 10.1.3.</w:t>
            </w:r>
            <w:r w:rsidRPr="00734D89">
              <w:rPr>
                <w:rFonts w:ascii="Verdana" w:hAnsi="Verdana" w:cs="Courier New"/>
                <w:sz w:val="18"/>
                <w:szCs w:val="20"/>
                <w:highlight w:val="yellow"/>
              </w:rPr>
              <w:t>3</w:t>
            </w:r>
            <w:r>
              <w:rPr>
                <w:rFonts w:ascii="Verdana" w:hAnsi="Verdana" w:cs="Courier New"/>
                <w:sz w:val="18"/>
                <w:szCs w:val="20"/>
              </w:rPr>
              <w:t>.</w:t>
            </w:r>
          </w:p>
        </w:tc>
      </w:tr>
      <w:tr w:rsidR="001D2BEE" w14:paraId="2F0457B3" w14:textId="77777777" w:rsidTr="00543BA3">
        <w:tc>
          <w:tcPr>
            <w:tcW w:w="653" w:type="dxa"/>
          </w:tcPr>
          <w:p w14:paraId="738151BE" w14:textId="77777777" w:rsidR="001D2BEE" w:rsidRDefault="001D2BEE" w:rsidP="00F630F5">
            <w:pPr>
              <w:spacing w:after="120"/>
              <w:rPr>
                <w:rFonts w:ascii="Verdana" w:hAnsi="Verdana" w:cs="Courier New"/>
                <w:sz w:val="18"/>
                <w:szCs w:val="20"/>
              </w:rPr>
            </w:pPr>
            <w:r>
              <w:rPr>
                <w:rFonts w:ascii="Verdana" w:hAnsi="Verdana" w:cs="Courier New"/>
                <w:sz w:val="18"/>
                <w:szCs w:val="20"/>
              </w:rPr>
              <w:t>572</w:t>
            </w:r>
          </w:p>
        </w:tc>
        <w:tc>
          <w:tcPr>
            <w:tcW w:w="715" w:type="dxa"/>
          </w:tcPr>
          <w:p w14:paraId="4329E10E" w14:textId="77777777" w:rsidR="001D2BEE" w:rsidRDefault="001D2BEE"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38ABB9D1" w14:textId="77777777" w:rsidR="001D2BEE" w:rsidRDefault="001D2BEE" w:rsidP="0026049E">
            <w:pPr>
              <w:spacing w:after="120"/>
              <w:rPr>
                <w:rFonts w:ascii="Verdana" w:hAnsi="Verdana" w:cs="Courier New"/>
                <w:sz w:val="18"/>
                <w:szCs w:val="20"/>
              </w:rPr>
            </w:pPr>
            <w:r>
              <w:rPr>
                <w:rFonts w:ascii="Verdana" w:hAnsi="Verdana" w:cs="Courier New"/>
                <w:sz w:val="18"/>
                <w:szCs w:val="20"/>
              </w:rPr>
              <w:t>2 lines above Figure 24-8 – “…R1’s G0/1 IP…” – change “G0/</w:t>
            </w:r>
            <w:r w:rsidRPr="00021201">
              <w:rPr>
                <w:rFonts w:ascii="Verdana" w:hAnsi="Verdana" w:cs="Courier New"/>
                <w:sz w:val="18"/>
                <w:szCs w:val="20"/>
                <w:highlight w:val="yellow"/>
              </w:rPr>
              <w:t>1</w:t>
            </w:r>
            <w:r>
              <w:rPr>
                <w:rFonts w:ascii="Verdana" w:hAnsi="Verdana" w:cs="Courier New"/>
                <w:sz w:val="18"/>
                <w:szCs w:val="20"/>
              </w:rPr>
              <w:t>” to “G0/</w:t>
            </w:r>
            <w:r w:rsidRPr="00021201">
              <w:rPr>
                <w:rFonts w:ascii="Verdana" w:hAnsi="Verdana" w:cs="Courier New"/>
                <w:sz w:val="18"/>
                <w:szCs w:val="20"/>
                <w:highlight w:val="yellow"/>
              </w:rPr>
              <w:t>0</w:t>
            </w:r>
            <w:r>
              <w:rPr>
                <w:rFonts w:ascii="Verdana" w:hAnsi="Verdana" w:cs="Courier New"/>
                <w:sz w:val="18"/>
                <w:szCs w:val="20"/>
              </w:rPr>
              <w:t>”.</w:t>
            </w:r>
          </w:p>
        </w:tc>
      </w:tr>
      <w:tr w:rsidR="001D2BEE" w14:paraId="7E505F10" w14:textId="77777777" w:rsidTr="00543BA3">
        <w:tc>
          <w:tcPr>
            <w:tcW w:w="653" w:type="dxa"/>
          </w:tcPr>
          <w:p w14:paraId="54A54086" w14:textId="77777777" w:rsidR="001D2BEE" w:rsidRDefault="001D2BEE" w:rsidP="00F630F5">
            <w:pPr>
              <w:spacing w:after="120"/>
              <w:rPr>
                <w:rFonts w:ascii="Verdana" w:hAnsi="Verdana" w:cs="Courier New"/>
                <w:sz w:val="18"/>
                <w:szCs w:val="20"/>
              </w:rPr>
            </w:pPr>
            <w:r>
              <w:rPr>
                <w:rFonts w:ascii="Verdana" w:hAnsi="Verdana" w:cs="Courier New"/>
                <w:sz w:val="18"/>
                <w:szCs w:val="20"/>
              </w:rPr>
              <w:t>683</w:t>
            </w:r>
          </w:p>
        </w:tc>
        <w:tc>
          <w:tcPr>
            <w:tcW w:w="715" w:type="dxa"/>
          </w:tcPr>
          <w:p w14:paraId="62A92DFE" w14:textId="77777777" w:rsidR="001D2BEE" w:rsidRDefault="001D2BEE"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0F5656E6" w14:textId="77777777" w:rsidR="001D2BEE" w:rsidRDefault="001D2BEE" w:rsidP="005349C9">
            <w:pPr>
              <w:spacing w:after="120"/>
              <w:rPr>
                <w:rFonts w:ascii="Verdana" w:hAnsi="Verdana" w:cs="Courier New"/>
                <w:sz w:val="18"/>
                <w:szCs w:val="20"/>
              </w:rPr>
            </w:pPr>
            <w:r>
              <w:rPr>
                <w:rFonts w:ascii="Verdana" w:hAnsi="Verdana" w:cs="Courier New"/>
                <w:sz w:val="18"/>
                <w:szCs w:val="20"/>
              </w:rPr>
              <w:t>2</w:t>
            </w:r>
            <w:r w:rsidRPr="007620DA">
              <w:rPr>
                <w:rFonts w:ascii="Verdana" w:hAnsi="Verdana" w:cs="Courier New"/>
                <w:sz w:val="18"/>
                <w:szCs w:val="20"/>
                <w:vertAlign w:val="superscript"/>
              </w:rPr>
              <w:t>nd</w:t>
            </w:r>
            <w:r>
              <w:rPr>
                <w:rFonts w:ascii="Verdana" w:hAnsi="Verdana" w:cs="Courier New"/>
                <w:sz w:val="18"/>
                <w:szCs w:val="20"/>
              </w:rPr>
              <w:t xml:space="preserve"> Paragraph – replace the entire paragraph with: “When writing an IPv6 address and prefix length in documentation, you can choose to leave a space before the /, or not, as shown in the next two examples.”</w:t>
            </w:r>
          </w:p>
        </w:tc>
      </w:tr>
      <w:tr w:rsidR="001D2BEE" w14:paraId="7BF5ABE9" w14:textId="77777777" w:rsidTr="00543BA3">
        <w:tc>
          <w:tcPr>
            <w:tcW w:w="653" w:type="dxa"/>
          </w:tcPr>
          <w:p w14:paraId="6C5BDAC7" w14:textId="77777777" w:rsidR="001D2BEE" w:rsidRDefault="001D2BEE" w:rsidP="00F630F5">
            <w:pPr>
              <w:spacing w:after="120"/>
              <w:rPr>
                <w:rFonts w:ascii="Verdana" w:hAnsi="Verdana" w:cs="Courier New"/>
                <w:sz w:val="18"/>
                <w:szCs w:val="20"/>
              </w:rPr>
            </w:pPr>
            <w:r>
              <w:rPr>
                <w:rFonts w:ascii="Verdana" w:hAnsi="Verdana" w:cs="Courier New"/>
                <w:sz w:val="18"/>
                <w:szCs w:val="20"/>
              </w:rPr>
              <w:lastRenderedPageBreak/>
              <w:t>764</w:t>
            </w:r>
          </w:p>
        </w:tc>
        <w:tc>
          <w:tcPr>
            <w:tcW w:w="715" w:type="dxa"/>
          </w:tcPr>
          <w:p w14:paraId="1AE4E8C6" w14:textId="77777777" w:rsidR="001D2BEE" w:rsidRDefault="001D2BEE"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5AC2BDBC" w14:textId="77777777" w:rsidR="001D2BEE" w:rsidRDefault="001D2BEE" w:rsidP="0026049E">
            <w:pPr>
              <w:spacing w:after="120"/>
              <w:rPr>
                <w:rFonts w:ascii="Verdana" w:hAnsi="Verdana" w:cs="Courier New"/>
                <w:sz w:val="18"/>
                <w:szCs w:val="20"/>
              </w:rPr>
            </w:pPr>
            <w:r>
              <w:rPr>
                <w:rFonts w:ascii="Verdana" w:hAnsi="Verdana" w:cs="Courier New"/>
                <w:sz w:val="18"/>
                <w:szCs w:val="20"/>
              </w:rPr>
              <w:t>List under Figure 32-6 – “Default Route” item – change “ISP’s address of 2001:DB8:1:12:</w:t>
            </w:r>
            <w:proofErr w:type="gramStart"/>
            <w:r>
              <w:rPr>
                <w:rFonts w:ascii="Verdana" w:hAnsi="Verdana" w:cs="Courier New"/>
                <w:sz w:val="18"/>
                <w:szCs w:val="20"/>
              </w:rPr>
              <w:t>:1</w:t>
            </w:r>
            <w:proofErr w:type="gramEnd"/>
            <w:r>
              <w:rPr>
                <w:rFonts w:ascii="Verdana" w:hAnsi="Verdana" w:cs="Courier New"/>
                <w:sz w:val="18"/>
                <w:szCs w:val="20"/>
              </w:rPr>
              <w:t>” to “ISP’s link local address”.</w:t>
            </w:r>
          </w:p>
        </w:tc>
      </w:tr>
      <w:tr w:rsidR="00823C05" w14:paraId="42A6A9D8" w14:textId="77777777" w:rsidTr="00543BA3">
        <w:tc>
          <w:tcPr>
            <w:tcW w:w="653" w:type="dxa"/>
          </w:tcPr>
          <w:p w14:paraId="551CC5D2" w14:textId="0ECEAD92" w:rsidR="00823C05" w:rsidRDefault="00823C05" w:rsidP="00F630F5">
            <w:pPr>
              <w:spacing w:after="120"/>
              <w:rPr>
                <w:rFonts w:ascii="Verdana" w:hAnsi="Verdana" w:cs="Courier New"/>
                <w:sz w:val="18"/>
                <w:szCs w:val="20"/>
              </w:rPr>
            </w:pPr>
            <w:r>
              <w:rPr>
                <w:rFonts w:ascii="Verdana" w:hAnsi="Verdana" w:cs="Courier New"/>
                <w:sz w:val="18"/>
                <w:szCs w:val="20"/>
              </w:rPr>
              <w:t>768</w:t>
            </w:r>
          </w:p>
        </w:tc>
        <w:tc>
          <w:tcPr>
            <w:tcW w:w="715" w:type="dxa"/>
          </w:tcPr>
          <w:p w14:paraId="4BDDE108" w14:textId="29E5754F" w:rsidR="00823C05" w:rsidRDefault="00823C05"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1A0EBE49" w14:textId="2980348C" w:rsidR="00823C05" w:rsidRDefault="00823C05" w:rsidP="0026049E">
            <w:pPr>
              <w:spacing w:after="120"/>
              <w:rPr>
                <w:rFonts w:ascii="Verdana" w:hAnsi="Verdana" w:cs="Courier New"/>
                <w:sz w:val="18"/>
                <w:szCs w:val="20"/>
              </w:rPr>
            </w:pPr>
            <w:r>
              <w:rPr>
                <w:rFonts w:ascii="Verdana" w:hAnsi="Verdana" w:cs="Courier New"/>
                <w:sz w:val="18"/>
                <w:szCs w:val="20"/>
              </w:rPr>
              <w:t>First line – reference to “Figure 32-3” should be “Figure 32-7”.</w:t>
            </w:r>
          </w:p>
        </w:tc>
      </w:tr>
      <w:tr w:rsidR="001D2BEE" w14:paraId="3C819C4C" w14:textId="77777777" w:rsidTr="00543BA3">
        <w:tc>
          <w:tcPr>
            <w:tcW w:w="653" w:type="dxa"/>
          </w:tcPr>
          <w:p w14:paraId="1AD108F3" w14:textId="77777777" w:rsidR="001D2BEE" w:rsidRDefault="001D2BEE" w:rsidP="00F630F5">
            <w:pPr>
              <w:spacing w:after="120"/>
              <w:rPr>
                <w:rFonts w:ascii="Verdana" w:hAnsi="Verdana" w:cs="Courier New"/>
                <w:sz w:val="18"/>
                <w:szCs w:val="20"/>
              </w:rPr>
            </w:pPr>
            <w:r>
              <w:rPr>
                <w:rFonts w:ascii="Verdana" w:hAnsi="Verdana" w:cs="Courier New"/>
                <w:sz w:val="18"/>
                <w:szCs w:val="20"/>
              </w:rPr>
              <w:t>769</w:t>
            </w:r>
          </w:p>
        </w:tc>
        <w:tc>
          <w:tcPr>
            <w:tcW w:w="715" w:type="dxa"/>
          </w:tcPr>
          <w:p w14:paraId="60511D21" w14:textId="77777777" w:rsidR="001D2BEE" w:rsidRDefault="001D2BEE"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22D76670" w14:textId="77777777" w:rsidR="001D2BEE" w:rsidRDefault="001D2BEE" w:rsidP="0026049E">
            <w:pPr>
              <w:spacing w:after="120"/>
              <w:rPr>
                <w:rFonts w:ascii="Verdana" w:hAnsi="Verdana" w:cs="Courier New"/>
                <w:sz w:val="18"/>
                <w:szCs w:val="20"/>
              </w:rPr>
            </w:pPr>
            <w:r>
              <w:rPr>
                <w:rFonts w:ascii="Verdana" w:hAnsi="Verdana" w:cs="Courier New"/>
                <w:sz w:val="18"/>
                <w:szCs w:val="20"/>
              </w:rPr>
              <w:t>Table 32-5 – 3</w:t>
            </w:r>
            <w:r w:rsidRPr="00F267DF">
              <w:rPr>
                <w:rFonts w:ascii="Verdana" w:hAnsi="Verdana" w:cs="Courier New"/>
                <w:sz w:val="18"/>
                <w:szCs w:val="20"/>
                <w:vertAlign w:val="superscript"/>
              </w:rPr>
              <w:t>rd</w:t>
            </w:r>
            <w:r>
              <w:rPr>
                <w:rFonts w:ascii="Verdana" w:hAnsi="Verdana" w:cs="Courier New"/>
                <w:sz w:val="18"/>
                <w:szCs w:val="20"/>
              </w:rPr>
              <w:t xml:space="preserve"> row of commands – the </w:t>
            </w:r>
            <w:r w:rsidRPr="00F267DF">
              <w:rPr>
                <w:rFonts w:ascii="Verdana" w:hAnsi="Verdana" w:cs="Courier New"/>
                <w:b/>
                <w:sz w:val="18"/>
                <w:szCs w:val="20"/>
              </w:rPr>
              <w:t>ipv6 route</w:t>
            </w:r>
            <w:r>
              <w:rPr>
                <w:rFonts w:ascii="Verdana" w:hAnsi="Verdana" w:cs="Courier New"/>
                <w:sz w:val="18"/>
                <w:szCs w:val="20"/>
              </w:rPr>
              <w:t xml:space="preserve"> command should list “</w:t>
            </w:r>
            <w:r w:rsidRPr="00F267DF">
              <w:rPr>
                <w:rFonts w:ascii="Verdana" w:hAnsi="Verdana" w:cs="Courier New"/>
                <w:i/>
                <w:sz w:val="18"/>
                <w:szCs w:val="20"/>
              </w:rPr>
              <w:t>outgoing-interface</w:t>
            </w:r>
            <w:r>
              <w:rPr>
                <w:rFonts w:ascii="Verdana" w:hAnsi="Verdana" w:cs="Courier New"/>
                <w:sz w:val="18"/>
                <w:szCs w:val="20"/>
              </w:rPr>
              <w:t xml:space="preserve">” </w:t>
            </w:r>
            <w:r w:rsidRPr="00F267DF">
              <w:rPr>
                <w:rFonts w:ascii="Verdana" w:hAnsi="Verdana" w:cs="Courier New"/>
                <w:sz w:val="18"/>
                <w:szCs w:val="20"/>
                <w:highlight w:val="yellow"/>
              </w:rPr>
              <w:t>before</w:t>
            </w:r>
            <w:r>
              <w:rPr>
                <w:rFonts w:ascii="Verdana" w:hAnsi="Verdana" w:cs="Courier New"/>
                <w:sz w:val="18"/>
                <w:szCs w:val="20"/>
              </w:rPr>
              <w:t xml:space="preserve"> “</w:t>
            </w:r>
            <w:r w:rsidRPr="00F267DF">
              <w:rPr>
                <w:rFonts w:ascii="Verdana" w:hAnsi="Verdana" w:cs="Courier New"/>
                <w:i/>
                <w:sz w:val="18"/>
                <w:szCs w:val="20"/>
              </w:rPr>
              <w:t>next-hop-address</w:t>
            </w:r>
            <w:r>
              <w:rPr>
                <w:rFonts w:ascii="Verdana" w:hAnsi="Verdana" w:cs="Courier New"/>
                <w:sz w:val="18"/>
                <w:szCs w:val="20"/>
              </w:rPr>
              <w:t>”, not following it.</w:t>
            </w:r>
          </w:p>
        </w:tc>
      </w:tr>
      <w:tr w:rsidR="001D2BEE" w14:paraId="32F89849" w14:textId="77777777" w:rsidTr="00543BA3">
        <w:tc>
          <w:tcPr>
            <w:tcW w:w="653" w:type="dxa"/>
          </w:tcPr>
          <w:p w14:paraId="5355DFA2" w14:textId="77777777" w:rsidR="001D2BEE" w:rsidRDefault="001D2BEE" w:rsidP="00F630F5">
            <w:pPr>
              <w:spacing w:after="120"/>
              <w:rPr>
                <w:rFonts w:ascii="Verdana" w:hAnsi="Verdana" w:cs="Courier New"/>
                <w:sz w:val="18"/>
                <w:szCs w:val="20"/>
              </w:rPr>
            </w:pPr>
            <w:r>
              <w:rPr>
                <w:rFonts w:ascii="Verdana" w:hAnsi="Verdana" w:cs="Courier New"/>
                <w:sz w:val="18"/>
                <w:szCs w:val="20"/>
              </w:rPr>
              <w:t>804</w:t>
            </w:r>
          </w:p>
        </w:tc>
        <w:tc>
          <w:tcPr>
            <w:tcW w:w="715" w:type="dxa"/>
          </w:tcPr>
          <w:p w14:paraId="20712365" w14:textId="77777777" w:rsidR="001D2BEE" w:rsidRDefault="001D2BEE"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2F678F7E" w14:textId="77777777" w:rsidR="001D2BEE" w:rsidRDefault="001D2BEE" w:rsidP="0026049E">
            <w:pPr>
              <w:spacing w:after="120"/>
              <w:rPr>
                <w:rFonts w:ascii="Verdana" w:hAnsi="Verdana" w:cs="Courier New"/>
                <w:sz w:val="18"/>
                <w:szCs w:val="20"/>
              </w:rPr>
            </w:pPr>
            <w:r>
              <w:rPr>
                <w:rFonts w:ascii="Verdana" w:hAnsi="Verdana" w:cs="Courier New"/>
                <w:sz w:val="18"/>
                <w:szCs w:val="20"/>
              </w:rPr>
              <w:t>Question 5 – remove “</w:t>
            </w:r>
            <w:r w:rsidRPr="00AF0FBF">
              <w:rPr>
                <w:rFonts w:ascii="Verdana" w:hAnsi="Verdana" w:cs="Courier New"/>
                <w:b/>
                <w:sz w:val="18"/>
                <w:szCs w:val="20"/>
                <w:highlight w:val="yellow"/>
              </w:rPr>
              <w:t>ip</w:t>
            </w:r>
            <w:r>
              <w:rPr>
                <w:rFonts w:ascii="Verdana" w:hAnsi="Verdana" w:cs="Courier New"/>
                <w:sz w:val="18"/>
                <w:szCs w:val="20"/>
              </w:rPr>
              <w:t>” from “</w:t>
            </w:r>
            <w:r w:rsidRPr="00AF0FBF">
              <w:rPr>
                <w:rFonts w:ascii="Verdana" w:hAnsi="Verdana" w:cs="Courier New"/>
                <w:b/>
                <w:sz w:val="18"/>
                <w:szCs w:val="20"/>
                <w:highlight w:val="yellow"/>
              </w:rPr>
              <w:t>ip</w:t>
            </w:r>
            <w:r w:rsidRPr="00AF0FBF">
              <w:rPr>
                <w:rFonts w:ascii="Verdana" w:hAnsi="Verdana" w:cs="Courier New"/>
                <w:b/>
                <w:sz w:val="18"/>
                <w:szCs w:val="20"/>
              </w:rPr>
              <w:t xml:space="preserve"> access-class 1 in</w:t>
            </w:r>
            <w:r>
              <w:rPr>
                <w:rFonts w:ascii="Verdana" w:hAnsi="Verdana" w:cs="Courier New"/>
                <w:sz w:val="18"/>
                <w:szCs w:val="20"/>
              </w:rPr>
              <w:t>”.</w:t>
            </w:r>
          </w:p>
        </w:tc>
      </w:tr>
      <w:tr w:rsidR="001D2BEE" w14:paraId="1507EFCD" w14:textId="77777777" w:rsidTr="00543BA3">
        <w:tc>
          <w:tcPr>
            <w:tcW w:w="653" w:type="dxa"/>
          </w:tcPr>
          <w:p w14:paraId="7282C5F9" w14:textId="77777777" w:rsidR="001D2BEE" w:rsidRDefault="001D2BEE"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1DF1CB7C" w14:textId="77777777" w:rsidR="001D2BEE" w:rsidRDefault="001D2BEE"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6018086C" w14:textId="77777777" w:rsidR="001D2BEE" w:rsidRDefault="001D2BEE" w:rsidP="0026049E">
            <w:pPr>
              <w:spacing w:after="120"/>
              <w:rPr>
                <w:rFonts w:ascii="Verdana" w:hAnsi="Verdana" w:cs="Courier New"/>
                <w:sz w:val="18"/>
                <w:szCs w:val="20"/>
              </w:rPr>
            </w:pPr>
            <w:r>
              <w:rPr>
                <w:rFonts w:ascii="Verdana" w:hAnsi="Verdana" w:cs="Courier New"/>
                <w:sz w:val="18"/>
                <w:szCs w:val="20"/>
              </w:rPr>
              <w:t>Question 4 – answer A – change “</w:t>
            </w:r>
            <w:r w:rsidRPr="00EC5FDD">
              <w:rPr>
                <w:rFonts w:ascii="Verdana" w:hAnsi="Verdana" w:cs="Courier New"/>
                <w:b/>
                <w:sz w:val="18"/>
                <w:szCs w:val="20"/>
              </w:rPr>
              <w:t>on</w:t>
            </w:r>
            <w:r>
              <w:rPr>
                <w:rFonts w:ascii="Verdana" w:hAnsi="Verdana" w:cs="Courier New"/>
                <w:sz w:val="18"/>
                <w:szCs w:val="20"/>
              </w:rPr>
              <w:t>” to “</w:t>
            </w:r>
            <w:r w:rsidRPr="00EC5FDD">
              <w:rPr>
                <w:rFonts w:ascii="Verdana" w:hAnsi="Verdana" w:cs="Courier New"/>
                <w:b/>
                <w:sz w:val="18"/>
                <w:szCs w:val="20"/>
              </w:rPr>
              <w:t>trunk</w:t>
            </w:r>
            <w:r>
              <w:rPr>
                <w:rFonts w:ascii="Verdana" w:hAnsi="Verdana" w:cs="Courier New"/>
                <w:sz w:val="18"/>
                <w:szCs w:val="20"/>
              </w:rPr>
              <w:t>”.</w:t>
            </w:r>
          </w:p>
        </w:tc>
      </w:tr>
      <w:tr w:rsidR="001D2BEE" w14:paraId="010076F1" w14:textId="77777777" w:rsidTr="00543BA3">
        <w:trPr>
          <w:trHeight w:val="350"/>
        </w:trPr>
        <w:tc>
          <w:tcPr>
            <w:tcW w:w="653" w:type="dxa"/>
          </w:tcPr>
          <w:p w14:paraId="6C8759C5" w14:textId="77777777" w:rsidR="001D2BEE" w:rsidRDefault="001D2BEE" w:rsidP="00F630F5">
            <w:pPr>
              <w:spacing w:after="120"/>
              <w:rPr>
                <w:rFonts w:ascii="Verdana" w:hAnsi="Verdana" w:cs="Courier New"/>
                <w:sz w:val="18"/>
                <w:szCs w:val="20"/>
              </w:rPr>
            </w:pPr>
            <w:r>
              <w:rPr>
                <w:rFonts w:ascii="Verdana" w:hAnsi="Verdana" w:cs="Courier New"/>
                <w:sz w:val="18"/>
                <w:szCs w:val="20"/>
              </w:rPr>
              <w:t>273</w:t>
            </w:r>
          </w:p>
        </w:tc>
        <w:tc>
          <w:tcPr>
            <w:tcW w:w="715" w:type="dxa"/>
          </w:tcPr>
          <w:p w14:paraId="1F8BD3A7" w14:textId="77777777" w:rsidR="001D2BEE" w:rsidRDefault="001D2BEE"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52437586" w14:textId="77777777" w:rsidR="001D2BEE" w:rsidRDefault="001D2BEE" w:rsidP="0026049E">
            <w:pPr>
              <w:spacing w:after="120"/>
              <w:rPr>
                <w:rFonts w:ascii="Verdana" w:hAnsi="Verdana" w:cs="Courier New"/>
                <w:sz w:val="18"/>
                <w:szCs w:val="20"/>
              </w:rPr>
            </w:pPr>
            <w:r>
              <w:rPr>
                <w:rFonts w:ascii="Verdana" w:hAnsi="Verdana" w:cs="Courier New"/>
                <w:sz w:val="18"/>
                <w:szCs w:val="20"/>
              </w:rPr>
              <w:t>Question 7 – 1</w:t>
            </w:r>
            <w:r w:rsidRPr="00996D11">
              <w:rPr>
                <w:rFonts w:ascii="Verdana" w:hAnsi="Verdana" w:cs="Courier New"/>
                <w:sz w:val="18"/>
                <w:szCs w:val="20"/>
                <w:vertAlign w:val="superscript"/>
              </w:rPr>
              <w:t>st</w:t>
            </w:r>
            <w:r>
              <w:rPr>
                <w:rFonts w:ascii="Verdana" w:hAnsi="Verdana" w:cs="Courier New"/>
                <w:sz w:val="18"/>
                <w:szCs w:val="20"/>
              </w:rPr>
              <w:t xml:space="preserve"> line – change “secure-down” to “secure-shutdown”.</w:t>
            </w:r>
          </w:p>
        </w:tc>
      </w:tr>
      <w:tr w:rsidR="001D2BEE" w14:paraId="5B9A62FF" w14:textId="77777777" w:rsidTr="00543BA3">
        <w:tc>
          <w:tcPr>
            <w:tcW w:w="653" w:type="dxa"/>
          </w:tcPr>
          <w:p w14:paraId="09DFA630" w14:textId="77777777" w:rsidR="001D2BEE" w:rsidRDefault="001D2BEE" w:rsidP="00F630F5">
            <w:pPr>
              <w:spacing w:after="120"/>
              <w:rPr>
                <w:rFonts w:ascii="Verdana" w:hAnsi="Verdana" w:cs="Courier New"/>
                <w:sz w:val="18"/>
                <w:szCs w:val="20"/>
              </w:rPr>
            </w:pPr>
            <w:r>
              <w:rPr>
                <w:rFonts w:ascii="Verdana" w:hAnsi="Verdana" w:cs="Courier New"/>
                <w:sz w:val="18"/>
                <w:szCs w:val="20"/>
              </w:rPr>
              <w:t>453</w:t>
            </w:r>
          </w:p>
        </w:tc>
        <w:tc>
          <w:tcPr>
            <w:tcW w:w="715" w:type="dxa"/>
          </w:tcPr>
          <w:p w14:paraId="63F74079" w14:textId="77777777" w:rsidR="001D2BEE" w:rsidRDefault="001D2BEE"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1F7160C7" w14:textId="77777777" w:rsidR="001D2BEE" w:rsidRDefault="001D2BEE" w:rsidP="0026049E">
            <w:pPr>
              <w:spacing w:after="120"/>
              <w:rPr>
                <w:rFonts w:ascii="Verdana" w:hAnsi="Verdana" w:cs="Courier New"/>
                <w:sz w:val="18"/>
                <w:szCs w:val="20"/>
              </w:rPr>
            </w:pPr>
            <w:r>
              <w:rPr>
                <w:rFonts w:ascii="Verdana" w:hAnsi="Verdana" w:cs="Courier New"/>
                <w:sz w:val="18"/>
                <w:szCs w:val="20"/>
              </w:rPr>
              <w:t>Paragraph above Figure 19-11 – 2</w:t>
            </w:r>
            <w:r w:rsidRPr="00E17059">
              <w:rPr>
                <w:rFonts w:ascii="Verdana" w:hAnsi="Verdana" w:cs="Courier New"/>
                <w:sz w:val="18"/>
                <w:szCs w:val="20"/>
                <w:vertAlign w:val="superscript"/>
              </w:rPr>
              <w:t>nd</w:t>
            </w:r>
            <w:r>
              <w:rPr>
                <w:rFonts w:ascii="Verdana" w:hAnsi="Verdana" w:cs="Courier New"/>
                <w:sz w:val="18"/>
                <w:szCs w:val="20"/>
              </w:rPr>
              <w:t xml:space="preserve"> line – change “(a </w:t>
            </w:r>
            <w:r w:rsidRPr="00E17059">
              <w:rPr>
                <w:rFonts w:ascii="Verdana" w:hAnsi="Verdana" w:cs="Courier New"/>
                <w:sz w:val="18"/>
                <w:szCs w:val="20"/>
                <w:highlight w:val="yellow"/>
              </w:rPr>
              <w:t>router</w:t>
            </w:r>
            <w:r>
              <w:rPr>
                <w:rFonts w:ascii="Verdana" w:hAnsi="Verdana" w:cs="Courier New"/>
                <w:sz w:val="18"/>
                <w:szCs w:val="20"/>
              </w:rPr>
              <w:t xml:space="preserve"> with R3…” to “(a </w:t>
            </w:r>
            <w:r w:rsidRPr="00E17059">
              <w:rPr>
                <w:rFonts w:ascii="Verdana" w:hAnsi="Verdana" w:cs="Courier New"/>
                <w:sz w:val="18"/>
                <w:szCs w:val="20"/>
                <w:highlight w:val="yellow"/>
              </w:rPr>
              <w:t>route</w:t>
            </w:r>
            <w:r>
              <w:rPr>
                <w:rFonts w:ascii="Verdana" w:hAnsi="Verdana" w:cs="Courier New"/>
                <w:sz w:val="18"/>
                <w:szCs w:val="20"/>
              </w:rPr>
              <w:t xml:space="preserve"> with R3…”</w:t>
            </w:r>
          </w:p>
        </w:tc>
      </w:tr>
      <w:tr w:rsidR="001D2BEE" w14:paraId="263486E1" w14:textId="77777777" w:rsidTr="00543BA3">
        <w:tc>
          <w:tcPr>
            <w:tcW w:w="653" w:type="dxa"/>
          </w:tcPr>
          <w:p w14:paraId="4CD4AD06" w14:textId="77777777" w:rsidR="001D2BEE" w:rsidRDefault="001D2BEE" w:rsidP="00F630F5">
            <w:pPr>
              <w:spacing w:after="120"/>
              <w:rPr>
                <w:rFonts w:ascii="Verdana" w:hAnsi="Verdana" w:cs="Courier New"/>
                <w:sz w:val="18"/>
                <w:szCs w:val="20"/>
              </w:rPr>
            </w:pPr>
            <w:r>
              <w:rPr>
                <w:rFonts w:ascii="Verdana" w:hAnsi="Verdana" w:cs="Courier New"/>
                <w:sz w:val="18"/>
                <w:szCs w:val="20"/>
              </w:rPr>
              <w:t>560</w:t>
            </w:r>
          </w:p>
        </w:tc>
        <w:tc>
          <w:tcPr>
            <w:tcW w:w="715" w:type="dxa"/>
          </w:tcPr>
          <w:p w14:paraId="15FE9799" w14:textId="77777777" w:rsidR="001D2BEE" w:rsidRDefault="001D2BEE"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630A88F2" w14:textId="77777777" w:rsidR="001D2BEE" w:rsidRDefault="001D2BEE" w:rsidP="0026049E">
            <w:pPr>
              <w:spacing w:after="120"/>
              <w:rPr>
                <w:rFonts w:ascii="Verdana" w:hAnsi="Verdana" w:cs="Courier New"/>
                <w:sz w:val="18"/>
                <w:szCs w:val="20"/>
              </w:rPr>
            </w:pPr>
            <w:r>
              <w:rPr>
                <w:rFonts w:ascii="Verdana" w:hAnsi="Verdana" w:cs="Courier New"/>
                <w:sz w:val="18"/>
                <w:szCs w:val="20"/>
              </w:rPr>
              <w:t>Delete last sentence on page, which begins “The first command confirms…</w:t>
            </w:r>
            <w:proofErr w:type="gramStart"/>
            <w:r>
              <w:rPr>
                <w:rFonts w:ascii="Verdana" w:hAnsi="Verdana" w:cs="Courier New"/>
                <w:sz w:val="18"/>
                <w:szCs w:val="20"/>
              </w:rPr>
              <w:t>”.</w:t>
            </w:r>
            <w:proofErr w:type="gramEnd"/>
          </w:p>
        </w:tc>
      </w:tr>
      <w:tr w:rsidR="001D2BEE" w14:paraId="0712C6CE" w14:textId="77777777" w:rsidTr="00543BA3">
        <w:trPr>
          <w:trHeight w:val="350"/>
        </w:trPr>
        <w:tc>
          <w:tcPr>
            <w:tcW w:w="653" w:type="dxa"/>
          </w:tcPr>
          <w:p w14:paraId="48272CD8" w14:textId="77777777" w:rsidR="001D2BEE" w:rsidRDefault="001D2BEE" w:rsidP="00F630F5">
            <w:pPr>
              <w:spacing w:after="120"/>
              <w:rPr>
                <w:rFonts w:ascii="Verdana" w:hAnsi="Verdana" w:cs="Courier New"/>
                <w:sz w:val="18"/>
                <w:szCs w:val="20"/>
              </w:rPr>
            </w:pPr>
            <w:r>
              <w:rPr>
                <w:rFonts w:ascii="Verdana" w:hAnsi="Verdana" w:cs="Courier New"/>
                <w:sz w:val="18"/>
                <w:szCs w:val="20"/>
              </w:rPr>
              <w:t>762</w:t>
            </w:r>
          </w:p>
        </w:tc>
        <w:tc>
          <w:tcPr>
            <w:tcW w:w="715" w:type="dxa"/>
          </w:tcPr>
          <w:p w14:paraId="21F042C5" w14:textId="77777777" w:rsidR="001D2BEE" w:rsidRDefault="001D2BEE"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193E536A" w14:textId="77777777" w:rsidR="001D2BEE" w:rsidRDefault="001D2BEE" w:rsidP="0026049E">
            <w:pPr>
              <w:spacing w:after="120"/>
              <w:rPr>
                <w:rFonts w:ascii="Verdana" w:hAnsi="Verdana" w:cs="Courier New"/>
                <w:sz w:val="18"/>
                <w:szCs w:val="20"/>
              </w:rPr>
            </w:pPr>
            <w:r>
              <w:rPr>
                <w:rFonts w:ascii="Verdana" w:hAnsi="Verdana" w:cs="Courier New"/>
                <w:sz w:val="18"/>
                <w:szCs w:val="20"/>
              </w:rPr>
              <w:t>Caption, Figure 32-5: replace “172.16.2.0/24” with “2001:DB8:1111:7:</w:t>
            </w:r>
            <w:proofErr w:type="gramStart"/>
            <w:r>
              <w:rPr>
                <w:rFonts w:ascii="Verdana" w:hAnsi="Verdana" w:cs="Courier New"/>
                <w:sz w:val="18"/>
                <w:szCs w:val="20"/>
              </w:rPr>
              <w:t>:/</w:t>
            </w:r>
            <w:proofErr w:type="gramEnd"/>
            <w:r>
              <w:rPr>
                <w:rFonts w:ascii="Verdana" w:hAnsi="Verdana" w:cs="Courier New"/>
                <w:sz w:val="18"/>
                <w:szCs w:val="20"/>
              </w:rPr>
              <w:t>64”.</w:t>
            </w:r>
          </w:p>
        </w:tc>
      </w:tr>
      <w:tr w:rsidR="001D2BEE" w14:paraId="127831C6" w14:textId="77777777" w:rsidTr="00543BA3">
        <w:tc>
          <w:tcPr>
            <w:tcW w:w="653" w:type="dxa"/>
          </w:tcPr>
          <w:p w14:paraId="76617046" w14:textId="77777777" w:rsidR="001D2BEE" w:rsidRDefault="001D2BEE" w:rsidP="00F630F5">
            <w:pPr>
              <w:spacing w:after="120"/>
              <w:rPr>
                <w:rFonts w:ascii="Verdana" w:hAnsi="Verdana" w:cs="Courier New"/>
                <w:sz w:val="18"/>
                <w:szCs w:val="20"/>
              </w:rPr>
            </w:pPr>
            <w:r>
              <w:rPr>
                <w:rFonts w:ascii="Verdana" w:hAnsi="Verdana" w:cs="Courier New"/>
                <w:sz w:val="18"/>
                <w:szCs w:val="20"/>
              </w:rPr>
              <w:t>764</w:t>
            </w:r>
          </w:p>
        </w:tc>
        <w:tc>
          <w:tcPr>
            <w:tcW w:w="715" w:type="dxa"/>
          </w:tcPr>
          <w:p w14:paraId="131D2A6A" w14:textId="77777777" w:rsidR="001D2BEE" w:rsidRDefault="001D2BEE"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60F0D715" w14:textId="77777777" w:rsidR="001D2BEE" w:rsidRDefault="001D2BEE" w:rsidP="0026049E">
            <w:pPr>
              <w:spacing w:after="120"/>
              <w:rPr>
                <w:rFonts w:ascii="Verdana" w:hAnsi="Verdana" w:cs="Courier New"/>
                <w:sz w:val="18"/>
                <w:szCs w:val="20"/>
              </w:rPr>
            </w:pPr>
            <w:r>
              <w:rPr>
                <w:rFonts w:ascii="Verdana" w:hAnsi="Verdana" w:cs="Courier New"/>
                <w:sz w:val="18"/>
                <w:szCs w:val="20"/>
              </w:rPr>
              <w:t>Figure 32-6 – Change “Prefix is 200</w:t>
            </w:r>
            <w:r w:rsidRPr="008E41E3">
              <w:rPr>
                <w:rFonts w:ascii="Verdana" w:hAnsi="Verdana" w:cs="Courier New"/>
                <w:sz w:val="18"/>
                <w:szCs w:val="20"/>
                <w:highlight w:val="yellow"/>
              </w:rPr>
              <w:t>2</w:t>
            </w:r>
            <w:r>
              <w:rPr>
                <w:rFonts w:ascii="Verdana" w:hAnsi="Verdana" w:cs="Courier New"/>
                <w:sz w:val="18"/>
                <w:szCs w:val="20"/>
              </w:rPr>
              <w:t>…” to “Prefix is 200</w:t>
            </w:r>
            <w:r w:rsidRPr="008E41E3">
              <w:rPr>
                <w:rFonts w:ascii="Verdana" w:hAnsi="Verdana" w:cs="Courier New"/>
                <w:sz w:val="18"/>
                <w:szCs w:val="20"/>
                <w:highlight w:val="yellow"/>
              </w:rPr>
              <w:t>1</w:t>
            </w:r>
            <w:r>
              <w:rPr>
                <w:rFonts w:ascii="Verdana" w:hAnsi="Verdana" w:cs="Courier New"/>
                <w:sz w:val="18"/>
                <w:szCs w:val="20"/>
              </w:rPr>
              <w:t>…”</w:t>
            </w:r>
          </w:p>
        </w:tc>
      </w:tr>
      <w:tr w:rsidR="001D2BEE" w14:paraId="5F6DD66C" w14:textId="77777777" w:rsidTr="00543BA3">
        <w:tc>
          <w:tcPr>
            <w:tcW w:w="653" w:type="dxa"/>
          </w:tcPr>
          <w:p w14:paraId="281A370C" w14:textId="77777777" w:rsidR="001D2BEE" w:rsidRDefault="001D2BEE" w:rsidP="00F630F5">
            <w:pPr>
              <w:spacing w:after="120"/>
              <w:rPr>
                <w:rFonts w:ascii="Verdana" w:hAnsi="Verdana" w:cs="Courier New"/>
                <w:sz w:val="18"/>
                <w:szCs w:val="20"/>
              </w:rPr>
            </w:pPr>
            <w:r>
              <w:rPr>
                <w:rFonts w:ascii="Verdana" w:hAnsi="Verdana" w:cs="Courier New"/>
                <w:sz w:val="18"/>
                <w:szCs w:val="20"/>
              </w:rPr>
              <w:t>805</w:t>
            </w:r>
          </w:p>
        </w:tc>
        <w:tc>
          <w:tcPr>
            <w:tcW w:w="715" w:type="dxa"/>
          </w:tcPr>
          <w:p w14:paraId="10BE9118" w14:textId="77777777" w:rsidR="001D2BEE" w:rsidRDefault="001D2BEE"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79D0EF00" w14:textId="77777777" w:rsidR="001D2BEE" w:rsidRDefault="001D2BEE" w:rsidP="0026049E">
            <w:pPr>
              <w:spacing w:after="120"/>
              <w:rPr>
                <w:rFonts w:ascii="Verdana" w:hAnsi="Verdana" w:cs="Courier New"/>
                <w:sz w:val="18"/>
                <w:szCs w:val="20"/>
              </w:rPr>
            </w:pPr>
            <w:r>
              <w:rPr>
                <w:rFonts w:ascii="Verdana" w:hAnsi="Verdana" w:cs="Courier New"/>
                <w:sz w:val="18"/>
                <w:szCs w:val="20"/>
              </w:rPr>
              <w:t>List of three commands – third command begins “</w:t>
            </w:r>
            <w:r w:rsidRPr="0029275E">
              <w:rPr>
                <w:rFonts w:ascii="Verdana" w:hAnsi="Verdana" w:cs="Courier New"/>
                <w:b/>
                <w:sz w:val="18"/>
                <w:szCs w:val="20"/>
              </w:rPr>
              <w:t>enable</w:t>
            </w:r>
            <w:r>
              <w:rPr>
                <w:rFonts w:ascii="Verdana" w:hAnsi="Verdana" w:cs="Courier New"/>
                <w:sz w:val="18"/>
                <w:szCs w:val="20"/>
              </w:rPr>
              <w:t xml:space="preserve"> </w:t>
            </w:r>
            <w:r w:rsidRPr="0029275E">
              <w:rPr>
                <w:rFonts w:ascii="Verdana" w:hAnsi="Verdana" w:cs="Courier New"/>
                <w:i/>
                <w:sz w:val="18"/>
                <w:szCs w:val="20"/>
              </w:rPr>
              <w:t>name</w:t>
            </w:r>
            <w:r>
              <w:rPr>
                <w:rFonts w:ascii="Verdana" w:hAnsi="Verdana" w:cs="Courier New"/>
                <w:sz w:val="18"/>
                <w:szCs w:val="20"/>
              </w:rPr>
              <w:t>” – delete “</w:t>
            </w:r>
            <w:r w:rsidRPr="0029275E">
              <w:rPr>
                <w:rFonts w:ascii="Verdana" w:hAnsi="Verdana" w:cs="Courier New"/>
                <w:i/>
                <w:sz w:val="18"/>
                <w:szCs w:val="20"/>
              </w:rPr>
              <w:t>name</w:t>
            </w:r>
            <w:r>
              <w:rPr>
                <w:rFonts w:ascii="Verdana" w:hAnsi="Verdana" w:cs="Courier New"/>
                <w:sz w:val="18"/>
                <w:szCs w:val="20"/>
              </w:rPr>
              <w:t>”.</w:t>
            </w:r>
          </w:p>
        </w:tc>
      </w:tr>
      <w:tr w:rsidR="001D2BEE" w14:paraId="3D147580" w14:textId="77777777" w:rsidTr="00543BA3">
        <w:tc>
          <w:tcPr>
            <w:tcW w:w="653" w:type="dxa"/>
          </w:tcPr>
          <w:p w14:paraId="13C7DE28" w14:textId="77777777" w:rsidR="001D2BEE" w:rsidRDefault="001D2BEE" w:rsidP="00F630F5">
            <w:pPr>
              <w:spacing w:after="120"/>
              <w:rPr>
                <w:rFonts w:ascii="Verdana" w:hAnsi="Verdana" w:cs="Courier New"/>
                <w:sz w:val="18"/>
                <w:szCs w:val="20"/>
              </w:rPr>
            </w:pPr>
            <w:r>
              <w:rPr>
                <w:rFonts w:ascii="Verdana" w:hAnsi="Verdana" w:cs="Courier New"/>
                <w:sz w:val="18"/>
                <w:szCs w:val="20"/>
              </w:rPr>
              <w:t>561</w:t>
            </w:r>
          </w:p>
        </w:tc>
        <w:tc>
          <w:tcPr>
            <w:tcW w:w="715" w:type="dxa"/>
          </w:tcPr>
          <w:p w14:paraId="75A24DBD" w14:textId="77777777" w:rsidR="001D2BEE" w:rsidRDefault="001D2BEE"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E8D481D" w14:textId="77777777" w:rsidR="001D2BEE" w:rsidRDefault="001D2BEE" w:rsidP="0026049E">
            <w:pPr>
              <w:spacing w:after="120"/>
              <w:rPr>
                <w:rFonts w:ascii="Verdana" w:hAnsi="Verdana" w:cs="Courier New"/>
                <w:sz w:val="18"/>
                <w:szCs w:val="20"/>
              </w:rPr>
            </w:pPr>
            <w:r>
              <w:rPr>
                <w:rFonts w:ascii="Verdana" w:hAnsi="Verdana" w:cs="Courier New"/>
                <w:sz w:val="18"/>
                <w:szCs w:val="20"/>
              </w:rPr>
              <w:t>2</w:t>
            </w:r>
            <w:r w:rsidRPr="0088018C">
              <w:rPr>
                <w:rFonts w:ascii="Verdana" w:hAnsi="Verdana" w:cs="Courier New"/>
                <w:sz w:val="18"/>
                <w:szCs w:val="20"/>
                <w:vertAlign w:val="superscript"/>
              </w:rPr>
              <w:t>nd</w:t>
            </w:r>
            <w:r>
              <w:rPr>
                <w:rFonts w:ascii="Verdana" w:hAnsi="Verdana" w:cs="Courier New"/>
                <w:sz w:val="18"/>
                <w:szCs w:val="20"/>
              </w:rPr>
              <w:t xml:space="preserve"> paragraph, 1</w:t>
            </w:r>
            <w:r w:rsidRPr="0088018C">
              <w:rPr>
                <w:rFonts w:ascii="Verdana" w:hAnsi="Verdana" w:cs="Courier New"/>
                <w:sz w:val="18"/>
                <w:szCs w:val="20"/>
                <w:vertAlign w:val="superscript"/>
              </w:rPr>
              <w:t>st</w:t>
            </w:r>
            <w:r>
              <w:rPr>
                <w:rFonts w:ascii="Verdana" w:hAnsi="Verdana" w:cs="Courier New"/>
                <w:sz w:val="18"/>
                <w:szCs w:val="20"/>
              </w:rPr>
              <w:t xml:space="preserve"> line – change bold “</w:t>
            </w:r>
            <w:proofErr w:type="spellStart"/>
            <w:r w:rsidRPr="0088018C">
              <w:rPr>
                <w:rFonts w:ascii="Verdana" w:hAnsi="Verdana" w:cs="Courier New"/>
                <w:b/>
                <w:sz w:val="18"/>
                <w:szCs w:val="20"/>
              </w:rPr>
              <w:t>ss</w:t>
            </w:r>
            <w:r w:rsidRPr="0088018C">
              <w:rPr>
                <w:rFonts w:ascii="Verdana" w:hAnsi="Verdana" w:cs="Courier New"/>
                <w:b/>
                <w:sz w:val="18"/>
                <w:szCs w:val="20"/>
                <w:highlight w:val="yellow"/>
              </w:rPr>
              <w:t>l</w:t>
            </w:r>
            <w:proofErr w:type="spellEnd"/>
            <w:r>
              <w:rPr>
                <w:rFonts w:ascii="Verdana" w:hAnsi="Verdana" w:cs="Courier New"/>
                <w:sz w:val="18"/>
                <w:szCs w:val="20"/>
              </w:rPr>
              <w:t>” to “</w:t>
            </w:r>
            <w:proofErr w:type="spellStart"/>
            <w:r w:rsidRPr="0088018C">
              <w:rPr>
                <w:rFonts w:ascii="Verdana" w:hAnsi="Verdana" w:cs="Courier New"/>
                <w:b/>
                <w:sz w:val="18"/>
                <w:szCs w:val="20"/>
              </w:rPr>
              <w:t>ss</w:t>
            </w:r>
            <w:r w:rsidRPr="0088018C">
              <w:rPr>
                <w:rFonts w:ascii="Verdana" w:hAnsi="Verdana" w:cs="Courier New"/>
                <w:b/>
                <w:sz w:val="18"/>
                <w:szCs w:val="20"/>
                <w:highlight w:val="yellow"/>
              </w:rPr>
              <w:t>h</w:t>
            </w:r>
            <w:proofErr w:type="spellEnd"/>
            <w:r>
              <w:rPr>
                <w:rFonts w:ascii="Verdana" w:hAnsi="Verdana" w:cs="Courier New"/>
                <w:sz w:val="18"/>
                <w:szCs w:val="20"/>
              </w:rPr>
              <w:t>”.</w:t>
            </w:r>
          </w:p>
        </w:tc>
      </w:tr>
      <w:tr w:rsidR="001D2BEE" w14:paraId="0D0B92DB" w14:textId="77777777" w:rsidTr="00543BA3">
        <w:tc>
          <w:tcPr>
            <w:tcW w:w="653" w:type="dxa"/>
          </w:tcPr>
          <w:p w14:paraId="54EC77CE" w14:textId="77777777" w:rsidR="001D2BEE" w:rsidRDefault="001D2BEE" w:rsidP="00F630F5">
            <w:pPr>
              <w:spacing w:after="120"/>
              <w:rPr>
                <w:rFonts w:ascii="Verdana" w:hAnsi="Verdana" w:cs="Courier New"/>
                <w:sz w:val="18"/>
                <w:szCs w:val="20"/>
              </w:rPr>
            </w:pPr>
            <w:r>
              <w:rPr>
                <w:rFonts w:ascii="Verdana" w:hAnsi="Verdana" w:cs="Courier New"/>
                <w:sz w:val="18"/>
                <w:szCs w:val="20"/>
              </w:rPr>
              <w:t>635</w:t>
            </w:r>
          </w:p>
        </w:tc>
        <w:tc>
          <w:tcPr>
            <w:tcW w:w="715" w:type="dxa"/>
          </w:tcPr>
          <w:p w14:paraId="0EBCFE8B" w14:textId="77777777" w:rsidR="001D2BEE" w:rsidRDefault="001D2BEE"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37DD2C5" w14:textId="77777777" w:rsidR="001D2BEE" w:rsidRDefault="001D2BEE" w:rsidP="0026049E">
            <w:pPr>
              <w:spacing w:after="120"/>
              <w:rPr>
                <w:rFonts w:ascii="Verdana" w:hAnsi="Verdana" w:cs="Courier New"/>
                <w:sz w:val="18"/>
                <w:szCs w:val="20"/>
              </w:rPr>
            </w:pPr>
            <w:r>
              <w:rPr>
                <w:rFonts w:ascii="Verdana" w:hAnsi="Verdana" w:cs="Courier New"/>
                <w:sz w:val="18"/>
                <w:szCs w:val="20"/>
              </w:rPr>
              <w:t xml:space="preserve">Example 26-10 and paragraph below it: Change references to </w:t>
            </w:r>
            <w:r w:rsidRPr="007A53DB">
              <w:rPr>
                <w:rFonts w:ascii="Verdana" w:hAnsi="Verdana" w:cs="Courier New"/>
                <w:sz w:val="18"/>
                <w:szCs w:val="20"/>
                <w:highlight w:val="yellow"/>
              </w:rPr>
              <w:t>R2’s G0/2</w:t>
            </w:r>
            <w:r>
              <w:rPr>
                <w:rFonts w:ascii="Verdana" w:hAnsi="Verdana" w:cs="Courier New"/>
                <w:sz w:val="18"/>
                <w:szCs w:val="20"/>
              </w:rPr>
              <w:t xml:space="preserve"> interface to </w:t>
            </w:r>
            <w:r w:rsidRPr="007A53DB">
              <w:rPr>
                <w:rFonts w:ascii="Verdana" w:hAnsi="Verdana" w:cs="Courier New"/>
                <w:sz w:val="18"/>
                <w:szCs w:val="20"/>
                <w:highlight w:val="yellow"/>
              </w:rPr>
              <w:t>R2’s G0/1</w:t>
            </w:r>
            <w:r>
              <w:rPr>
                <w:rFonts w:ascii="Verdana" w:hAnsi="Verdana" w:cs="Courier New"/>
                <w:sz w:val="18"/>
                <w:szCs w:val="20"/>
              </w:rPr>
              <w:t xml:space="preserve"> interface instead (once in the example, twice in the paragraph).</w:t>
            </w:r>
          </w:p>
        </w:tc>
      </w:tr>
      <w:tr w:rsidR="001D2BEE" w14:paraId="4DE53A9C" w14:textId="77777777" w:rsidTr="00543BA3">
        <w:tc>
          <w:tcPr>
            <w:tcW w:w="653" w:type="dxa"/>
          </w:tcPr>
          <w:p w14:paraId="100D9362" w14:textId="77777777" w:rsidR="001D2BEE" w:rsidRDefault="001D2BEE" w:rsidP="00F630F5">
            <w:pPr>
              <w:spacing w:after="120"/>
              <w:rPr>
                <w:rFonts w:ascii="Verdana" w:hAnsi="Verdana" w:cs="Courier New"/>
                <w:sz w:val="18"/>
                <w:szCs w:val="20"/>
              </w:rPr>
            </w:pPr>
            <w:r>
              <w:rPr>
                <w:rFonts w:ascii="Verdana" w:hAnsi="Verdana" w:cs="Courier New"/>
                <w:sz w:val="18"/>
                <w:szCs w:val="20"/>
              </w:rPr>
              <w:t>App C p19</w:t>
            </w:r>
          </w:p>
        </w:tc>
        <w:tc>
          <w:tcPr>
            <w:tcW w:w="715" w:type="dxa"/>
          </w:tcPr>
          <w:p w14:paraId="73DBD670"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3BE7D99" w14:textId="77777777" w:rsidR="001D2BEE" w:rsidRDefault="001D2BEE" w:rsidP="0026049E">
            <w:pPr>
              <w:spacing w:after="120"/>
              <w:rPr>
                <w:rFonts w:ascii="Verdana" w:hAnsi="Verdana" w:cs="Courier New"/>
                <w:sz w:val="18"/>
                <w:szCs w:val="20"/>
              </w:rPr>
            </w:pPr>
            <w:r>
              <w:rPr>
                <w:rFonts w:ascii="Verdana" w:hAnsi="Verdana" w:cs="Courier New"/>
                <w:sz w:val="18"/>
                <w:szCs w:val="20"/>
              </w:rPr>
              <w:t xml:space="preserve">In DVD Appendix C (Answers Appendix) – Chapter 22 question 4 explanation – change phrase “172.16.8.0 – 172.16.11.127” to be “172.16.8.0 – 172.16.11.255”. </w:t>
            </w:r>
          </w:p>
        </w:tc>
      </w:tr>
      <w:tr w:rsidR="001D2BEE" w14:paraId="57E194EC" w14:textId="77777777" w:rsidTr="00543BA3">
        <w:tc>
          <w:tcPr>
            <w:tcW w:w="653" w:type="dxa"/>
          </w:tcPr>
          <w:p w14:paraId="6E065F51" w14:textId="77777777" w:rsidR="001D2BEE" w:rsidRDefault="001D2BEE" w:rsidP="00F630F5">
            <w:pPr>
              <w:spacing w:after="120"/>
              <w:rPr>
                <w:rFonts w:ascii="Verdana" w:hAnsi="Verdana" w:cs="Courier New"/>
                <w:sz w:val="18"/>
                <w:szCs w:val="20"/>
              </w:rPr>
            </w:pPr>
            <w:r>
              <w:rPr>
                <w:rFonts w:ascii="Verdana" w:hAnsi="Verdana" w:cs="Courier New"/>
                <w:sz w:val="18"/>
                <w:szCs w:val="20"/>
              </w:rPr>
              <w:t>88</w:t>
            </w:r>
          </w:p>
        </w:tc>
        <w:tc>
          <w:tcPr>
            <w:tcW w:w="715" w:type="dxa"/>
          </w:tcPr>
          <w:p w14:paraId="05838ECE"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30A295D" w14:textId="77777777" w:rsidR="001D2BEE" w:rsidRDefault="001D2BEE" w:rsidP="0048401C">
            <w:pPr>
              <w:spacing w:after="120"/>
              <w:rPr>
                <w:rFonts w:ascii="Verdana" w:hAnsi="Verdana" w:cs="Courier New"/>
                <w:sz w:val="18"/>
                <w:szCs w:val="20"/>
              </w:rPr>
            </w:pPr>
            <w:r>
              <w:rPr>
                <w:rFonts w:ascii="Verdana" w:hAnsi="Verdana" w:cs="Courier New"/>
                <w:sz w:val="18"/>
                <w:szCs w:val="20"/>
              </w:rPr>
              <w:t>2</w:t>
            </w:r>
            <w:r w:rsidRPr="00E91776">
              <w:rPr>
                <w:rFonts w:ascii="Verdana" w:hAnsi="Verdana" w:cs="Courier New"/>
                <w:sz w:val="18"/>
                <w:szCs w:val="20"/>
                <w:vertAlign w:val="superscript"/>
              </w:rPr>
              <w:t>nd</w:t>
            </w:r>
            <w:r>
              <w:rPr>
                <w:rFonts w:ascii="Verdana" w:hAnsi="Verdana" w:cs="Courier New"/>
                <w:sz w:val="18"/>
                <w:szCs w:val="20"/>
              </w:rPr>
              <w:t xml:space="preserve"> line under heading “Class A, B, and C IP Networks”, text “2</w:t>
            </w:r>
            <w:r w:rsidRPr="00E91776">
              <w:rPr>
                <w:rFonts w:ascii="Verdana" w:hAnsi="Verdana" w:cs="Courier New"/>
                <w:sz w:val="18"/>
                <w:szCs w:val="20"/>
                <w:highlight w:val="yellow"/>
              </w:rPr>
              <w:t>32</w:t>
            </w:r>
            <w:r>
              <w:rPr>
                <w:rFonts w:ascii="Verdana" w:hAnsi="Verdana" w:cs="Courier New"/>
                <w:sz w:val="18"/>
                <w:szCs w:val="20"/>
              </w:rPr>
              <w:t>” should be “2</w:t>
            </w:r>
            <w:r w:rsidRPr="00E91776">
              <w:rPr>
                <w:rFonts w:ascii="Verdana" w:hAnsi="Verdana" w:cs="Courier New"/>
                <w:sz w:val="18"/>
                <w:szCs w:val="20"/>
                <w:highlight w:val="yellow"/>
                <w:vertAlign w:val="superscript"/>
              </w:rPr>
              <w:t>32</w:t>
            </w:r>
            <w:r>
              <w:rPr>
                <w:rFonts w:ascii="Verdana" w:hAnsi="Verdana" w:cs="Courier New"/>
                <w:sz w:val="18"/>
                <w:szCs w:val="20"/>
              </w:rPr>
              <w:t>”.</w:t>
            </w:r>
          </w:p>
        </w:tc>
      </w:tr>
      <w:tr w:rsidR="001D2BEE" w14:paraId="6F55AFC1" w14:textId="77777777" w:rsidTr="00543BA3">
        <w:tc>
          <w:tcPr>
            <w:tcW w:w="653" w:type="dxa"/>
          </w:tcPr>
          <w:p w14:paraId="041B0E29" w14:textId="77777777" w:rsidR="001D2BEE" w:rsidRDefault="001D2BEE" w:rsidP="00F630F5">
            <w:pPr>
              <w:spacing w:after="120"/>
              <w:rPr>
                <w:rFonts w:ascii="Verdana" w:hAnsi="Verdana" w:cs="Courier New"/>
                <w:sz w:val="18"/>
                <w:szCs w:val="20"/>
              </w:rPr>
            </w:pPr>
            <w:r>
              <w:rPr>
                <w:rFonts w:ascii="Verdana" w:hAnsi="Verdana" w:cs="Courier New"/>
                <w:sz w:val="18"/>
                <w:szCs w:val="20"/>
              </w:rPr>
              <w:t>140</w:t>
            </w:r>
          </w:p>
        </w:tc>
        <w:tc>
          <w:tcPr>
            <w:tcW w:w="715" w:type="dxa"/>
          </w:tcPr>
          <w:p w14:paraId="1CFAE801"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60A32F2D" w14:textId="77777777" w:rsidR="001D2BEE" w:rsidRDefault="001D2BEE" w:rsidP="009A0E4A">
            <w:pPr>
              <w:spacing w:after="120"/>
              <w:rPr>
                <w:rFonts w:ascii="Verdana" w:hAnsi="Verdana" w:cs="Courier New"/>
                <w:sz w:val="18"/>
                <w:szCs w:val="20"/>
              </w:rPr>
            </w:pPr>
            <w:r>
              <w:rPr>
                <w:rFonts w:ascii="Verdana" w:hAnsi="Verdana" w:cs="Courier New"/>
                <w:sz w:val="18"/>
                <w:szCs w:val="20"/>
              </w:rPr>
              <w:t>Table 6-4 – last row, 1</w:t>
            </w:r>
            <w:r w:rsidRPr="009A0E4A">
              <w:rPr>
                <w:rFonts w:ascii="Verdana" w:hAnsi="Verdana" w:cs="Courier New"/>
                <w:sz w:val="18"/>
                <w:szCs w:val="20"/>
                <w:vertAlign w:val="superscript"/>
              </w:rPr>
              <w:t>st</w:t>
            </w:r>
            <w:r>
              <w:rPr>
                <w:rFonts w:ascii="Verdana" w:hAnsi="Verdana" w:cs="Courier New"/>
                <w:sz w:val="18"/>
                <w:szCs w:val="20"/>
              </w:rPr>
              <w:t xml:space="preserve"> column – the prompt should read “hostname(</w:t>
            </w:r>
            <w:r w:rsidRPr="009A0E4A">
              <w:rPr>
                <w:rFonts w:ascii="Verdana" w:hAnsi="Verdana" w:cs="Courier New"/>
                <w:sz w:val="18"/>
                <w:szCs w:val="20"/>
                <w:highlight w:val="yellow"/>
              </w:rPr>
              <w:t>config-</w:t>
            </w:r>
            <w:proofErr w:type="spellStart"/>
            <w:r w:rsidRPr="009A0E4A">
              <w:rPr>
                <w:rFonts w:ascii="Verdana" w:hAnsi="Verdana" w:cs="Courier New"/>
                <w:sz w:val="18"/>
                <w:szCs w:val="20"/>
                <w:highlight w:val="yellow"/>
              </w:rPr>
              <w:t>vlan</w:t>
            </w:r>
            <w:proofErr w:type="spellEnd"/>
            <w:r>
              <w:rPr>
                <w:rFonts w:ascii="Verdana" w:hAnsi="Verdana" w:cs="Courier New"/>
                <w:sz w:val="18"/>
                <w:szCs w:val="20"/>
              </w:rPr>
              <w:t>)#”</w:t>
            </w:r>
          </w:p>
        </w:tc>
      </w:tr>
      <w:tr w:rsidR="001D2BEE" w14:paraId="7DBF1C6E" w14:textId="77777777" w:rsidTr="00543BA3">
        <w:tc>
          <w:tcPr>
            <w:tcW w:w="653" w:type="dxa"/>
          </w:tcPr>
          <w:p w14:paraId="45447A38" w14:textId="77777777" w:rsidR="001D2BEE" w:rsidRDefault="001D2BEE" w:rsidP="00F630F5">
            <w:pPr>
              <w:spacing w:after="120"/>
              <w:rPr>
                <w:rFonts w:ascii="Verdana" w:hAnsi="Verdana" w:cs="Courier New"/>
                <w:sz w:val="18"/>
                <w:szCs w:val="20"/>
              </w:rPr>
            </w:pPr>
            <w:r>
              <w:rPr>
                <w:rFonts w:ascii="Verdana" w:hAnsi="Verdana" w:cs="Courier New"/>
                <w:sz w:val="18"/>
                <w:szCs w:val="20"/>
              </w:rPr>
              <w:t>152</w:t>
            </w:r>
          </w:p>
        </w:tc>
        <w:tc>
          <w:tcPr>
            <w:tcW w:w="715" w:type="dxa"/>
          </w:tcPr>
          <w:p w14:paraId="6F11A0F7"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2590FC8" w14:textId="77777777" w:rsidR="001D2BEE" w:rsidRDefault="001D2BEE" w:rsidP="0048401C">
            <w:pPr>
              <w:spacing w:after="120"/>
              <w:rPr>
                <w:rFonts w:ascii="Verdana" w:hAnsi="Verdana" w:cs="Courier New"/>
                <w:sz w:val="18"/>
                <w:szCs w:val="20"/>
              </w:rPr>
            </w:pPr>
            <w:r>
              <w:rPr>
                <w:rFonts w:ascii="Verdana" w:hAnsi="Verdana" w:cs="Courier New"/>
                <w:sz w:val="18"/>
                <w:szCs w:val="20"/>
              </w:rPr>
              <w:t>Figure 7-4 – upper left Ethernet frame shows address “0200.</w:t>
            </w:r>
            <w:r>
              <w:rPr>
                <w:rFonts w:ascii="Verdana" w:hAnsi="Verdana" w:cs="Courier New"/>
                <w:sz w:val="18"/>
                <w:szCs w:val="20"/>
                <w:highlight w:val="yellow"/>
              </w:rPr>
              <w:t>2222.</w:t>
            </w:r>
            <w:r w:rsidRPr="00F2703B">
              <w:rPr>
                <w:rFonts w:ascii="Verdana" w:hAnsi="Verdana" w:cs="Courier New"/>
                <w:sz w:val="18"/>
                <w:szCs w:val="20"/>
                <w:highlight w:val="yellow"/>
              </w:rPr>
              <w:t>2222</w:t>
            </w:r>
            <w:r>
              <w:rPr>
                <w:rFonts w:ascii="Verdana" w:hAnsi="Verdana" w:cs="Courier New"/>
                <w:sz w:val="18"/>
                <w:szCs w:val="20"/>
              </w:rPr>
              <w:t>” – change to “0200.</w:t>
            </w:r>
            <w:r>
              <w:rPr>
                <w:rFonts w:ascii="Verdana" w:hAnsi="Verdana" w:cs="Courier New"/>
                <w:sz w:val="18"/>
                <w:szCs w:val="20"/>
                <w:highlight w:val="yellow"/>
              </w:rPr>
              <w:t>3333.</w:t>
            </w:r>
            <w:r w:rsidRPr="00F2703B">
              <w:rPr>
                <w:rFonts w:ascii="Verdana" w:hAnsi="Verdana" w:cs="Courier New"/>
                <w:sz w:val="18"/>
                <w:szCs w:val="20"/>
                <w:highlight w:val="yellow"/>
              </w:rPr>
              <w:t>3333</w:t>
            </w:r>
            <w:r>
              <w:rPr>
                <w:rFonts w:ascii="Verdana" w:hAnsi="Verdana" w:cs="Courier New"/>
                <w:sz w:val="18"/>
                <w:szCs w:val="20"/>
              </w:rPr>
              <w:t>”.</w:t>
            </w:r>
          </w:p>
        </w:tc>
      </w:tr>
      <w:tr w:rsidR="001D2BEE" w14:paraId="4211F1F4" w14:textId="77777777" w:rsidTr="00543BA3">
        <w:tc>
          <w:tcPr>
            <w:tcW w:w="653" w:type="dxa"/>
          </w:tcPr>
          <w:p w14:paraId="27B2B1AE" w14:textId="77777777" w:rsidR="001D2BEE" w:rsidRDefault="001D2BEE" w:rsidP="00F630F5">
            <w:pPr>
              <w:spacing w:after="120"/>
              <w:rPr>
                <w:rFonts w:ascii="Verdana" w:hAnsi="Verdana" w:cs="Courier New"/>
                <w:sz w:val="18"/>
                <w:szCs w:val="20"/>
              </w:rPr>
            </w:pPr>
            <w:r>
              <w:rPr>
                <w:rFonts w:ascii="Verdana" w:hAnsi="Verdana" w:cs="Courier New"/>
                <w:sz w:val="18"/>
                <w:szCs w:val="20"/>
              </w:rPr>
              <w:t>201</w:t>
            </w:r>
          </w:p>
        </w:tc>
        <w:tc>
          <w:tcPr>
            <w:tcW w:w="715" w:type="dxa"/>
          </w:tcPr>
          <w:p w14:paraId="0D5734A9"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658BDFB4" w14:textId="77777777" w:rsidR="001D2BEE" w:rsidRDefault="001D2BEE" w:rsidP="0048401C">
            <w:pPr>
              <w:spacing w:after="120"/>
              <w:rPr>
                <w:rFonts w:ascii="Verdana" w:hAnsi="Verdana" w:cs="Courier New"/>
                <w:sz w:val="18"/>
                <w:szCs w:val="20"/>
              </w:rPr>
            </w:pPr>
            <w:r>
              <w:rPr>
                <w:rFonts w:ascii="Verdana" w:hAnsi="Verdana" w:cs="Courier New"/>
                <w:sz w:val="18"/>
                <w:szCs w:val="20"/>
              </w:rPr>
              <w:t xml:space="preserve">Figure 9-2 – the interfaces </w:t>
            </w:r>
            <w:r w:rsidRPr="008B2E4F">
              <w:rPr>
                <w:rFonts w:ascii="Verdana" w:hAnsi="Verdana" w:cs="Courier New"/>
                <w:sz w:val="18"/>
                <w:szCs w:val="20"/>
                <w:highlight w:val="yellow"/>
              </w:rPr>
              <w:t>F</w:t>
            </w:r>
            <w:r>
              <w:rPr>
                <w:rFonts w:ascii="Verdana" w:hAnsi="Verdana" w:cs="Courier New"/>
                <w:sz w:val="18"/>
                <w:szCs w:val="20"/>
              </w:rPr>
              <w:t xml:space="preserve">0/1, </w:t>
            </w:r>
            <w:r w:rsidRPr="008B2E4F">
              <w:rPr>
                <w:rFonts w:ascii="Verdana" w:hAnsi="Verdana" w:cs="Courier New"/>
                <w:sz w:val="18"/>
                <w:szCs w:val="20"/>
                <w:highlight w:val="yellow"/>
              </w:rPr>
              <w:t>F</w:t>
            </w:r>
            <w:r>
              <w:rPr>
                <w:rFonts w:ascii="Verdana" w:hAnsi="Verdana" w:cs="Courier New"/>
                <w:sz w:val="18"/>
                <w:szCs w:val="20"/>
              </w:rPr>
              <w:t xml:space="preserve">0/2, and </w:t>
            </w:r>
            <w:r w:rsidRPr="008B2E4F">
              <w:rPr>
                <w:rFonts w:ascii="Verdana" w:hAnsi="Verdana" w:cs="Courier New"/>
                <w:sz w:val="18"/>
                <w:szCs w:val="20"/>
                <w:highlight w:val="yellow"/>
              </w:rPr>
              <w:t>F</w:t>
            </w:r>
            <w:r>
              <w:rPr>
                <w:rFonts w:ascii="Verdana" w:hAnsi="Verdana" w:cs="Courier New"/>
                <w:sz w:val="18"/>
                <w:szCs w:val="20"/>
              </w:rPr>
              <w:t xml:space="preserve">0/3 should be </w:t>
            </w:r>
            <w:r w:rsidRPr="008B2E4F">
              <w:rPr>
                <w:rFonts w:ascii="Verdana" w:hAnsi="Verdana" w:cs="Courier New"/>
                <w:sz w:val="18"/>
                <w:szCs w:val="20"/>
                <w:highlight w:val="yellow"/>
              </w:rPr>
              <w:t>G</w:t>
            </w:r>
            <w:r>
              <w:rPr>
                <w:rFonts w:ascii="Verdana" w:hAnsi="Verdana" w:cs="Courier New"/>
                <w:sz w:val="18"/>
                <w:szCs w:val="20"/>
              </w:rPr>
              <w:t xml:space="preserve">0/1, </w:t>
            </w:r>
            <w:r w:rsidRPr="008B2E4F">
              <w:rPr>
                <w:rFonts w:ascii="Verdana" w:hAnsi="Verdana" w:cs="Courier New"/>
                <w:sz w:val="18"/>
                <w:szCs w:val="20"/>
                <w:highlight w:val="yellow"/>
              </w:rPr>
              <w:t>G</w:t>
            </w:r>
            <w:r>
              <w:rPr>
                <w:rFonts w:ascii="Verdana" w:hAnsi="Verdana" w:cs="Courier New"/>
                <w:sz w:val="18"/>
                <w:szCs w:val="20"/>
              </w:rPr>
              <w:t xml:space="preserve">0/2, and </w:t>
            </w:r>
            <w:r w:rsidRPr="008B2E4F">
              <w:rPr>
                <w:rFonts w:ascii="Verdana" w:hAnsi="Verdana" w:cs="Courier New"/>
                <w:sz w:val="18"/>
                <w:szCs w:val="20"/>
                <w:highlight w:val="yellow"/>
              </w:rPr>
              <w:t>G</w:t>
            </w:r>
            <w:r>
              <w:rPr>
                <w:rFonts w:ascii="Verdana" w:hAnsi="Verdana" w:cs="Courier New"/>
                <w:sz w:val="18"/>
                <w:szCs w:val="20"/>
              </w:rPr>
              <w:t xml:space="preserve">0/3. Also, in a related change, in the paragraph below the bullet list below the figure, three references to interface “F0/1” in the figure should now be “G0/1”. </w:t>
            </w:r>
          </w:p>
        </w:tc>
      </w:tr>
      <w:tr w:rsidR="001D2BEE" w14:paraId="3F6D3865" w14:textId="77777777" w:rsidTr="00543BA3">
        <w:tc>
          <w:tcPr>
            <w:tcW w:w="653" w:type="dxa"/>
          </w:tcPr>
          <w:p w14:paraId="457BF741" w14:textId="77777777" w:rsidR="001D2BEE" w:rsidRDefault="001D2BEE" w:rsidP="00F630F5">
            <w:pPr>
              <w:spacing w:after="120"/>
              <w:rPr>
                <w:rFonts w:ascii="Verdana" w:hAnsi="Verdana" w:cs="Courier New"/>
                <w:sz w:val="18"/>
                <w:szCs w:val="20"/>
              </w:rPr>
            </w:pPr>
            <w:r>
              <w:rPr>
                <w:rFonts w:ascii="Verdana" w:hAnsi="Verdana" w:cs="Courier New"/>
                <w:sz w:val="18"/>
                <w:szCs w:val="20"/>
              </w:rPr>
              <w:t>445</w:t>
            </w:r>
          </w:p>
        </w:tc>
        <w:tc>
          <w:tcPr>
            <w:tcW w:w="715" w:type="dxa"/>
          </w:tcPr>
          <w:p w14:paraId="3FC95BBE"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AD16DC7" w14:textId="77777777" w:rsidR="001D2BEE" w:rsidRDefault="001D2BEE" w:rsidP="0048401C">
            <w:pPr>
              <w:spacing w:after="120"/>
              <w:rPr>
                <w:rFonts w:ascii="Verdana" w:hAnsi="Verdana" w:cs="Courier New"/>
                <w:sz w:val="18"/>
                <w:szCs w:val="20"/>
              </w:rPr>
            </w:pPr>
            <w:r>
              <w:rPr>
                <w:rFonts w:ascii="Verdana" w:hAnsi="Verdana" w:cs="Courier New"/>
                <w:sz w:val="18"/>
                <w:szCs w:val="20"/>
              </w:rPr>
              <w:t>Paragraph above Example 19-1 – “192.</w:t>
            </w:r>
            <w:r w:rsidRPr="000B0228">
              <w:rPr>
                <w:rFonts w:ascii="Verdana" w:hAnsi="Verdana" w:cs="Courier New"/>
                <w:sz w:val="18"/>
                <w:szCs w:val="20"/>
                <w:highlight w:val="yellow"/>
              </w:rPr>
              <w:t>68</w:t>
            </w:r>
            <w:r>
              <w:rPr>
                <w:rFonts w:ascii="Verdana" w:hAnsi="Verdana" w:cs="Courier New"/>
                <w:sz w:val="18"/>
                <w:szCs w:val="20"/>
              </w:rPr>
              <w:t>.2.0” should be “192.</w:t>
            </w:r>
            <w:r w:rsidRPr="000B0228">
              <w:rPr>
                <w:rFonts w:ascii="Verdana" w:hAnsi="Verdana" w:cs="Courier New"/>
                <w:sz w:val="18"/>
                <w:szCs w:val="20"/>
                <w:highlight w:val="yellow"/>
              </w:rPr>
              <w:t>168</w:t>
            </w:r>
            <w:r>
              <w:rPr>
                <w:rFonts w:ascii="Verdana" w:hAnsi="Verdana" w:cs="Courier New"/>
                <w:sz w:val="18"/>
                <w:szCs w:val="20"/>
              </w:rPr>
              <w:t>.2.0”.</w:t>
            </w:r>
          </w:p>
        </w:tc>
      </w:tr>
      <w:tr w:rsidR="001D2BEE" w14:paraId="5DCB68BA" w14:textId="77777777" w:rsidTr="00543BA3">
        <w:tc>
          <w:tcPr>
            <w:tcW w:w="653" w:type="dxa"/>
          </w:tcPr>
          <w:p w14:paraId="5C195102" w14:textId="77777777" w:rsidR="001D2BEE" w:rsidRDefault="001D2BEE" w:rsidP="00F630F5">
            <w:pPr>
              <w:spacing w:after="120"/>
              <w:rPr>
                <w:rFonts w:ascii="Verdana" w:hAnsi="Verdana" w:cs="Courier New"/>
                <w:sz w:val="18"/>
                <w:szCs w:val="20"/>
              </w:rPr>
            </w:pPr>
            <w:r>
              <w:rPr>
                <w:rFonts w:ascii="Verdana" w:hAnsi="Verdana" w:cs="Courier New"/>
                <w:sz w:val="18"/>
                <w:szCs w:val="20"/>
              </w:rPr>
              <w:t>465</w:t>
            </w:r>
          </w:p>
        </w:tc>
        <w:tc>
          <w:tcPr>
            <w:tcW w:w="715" w:type="dxa"/>
          </w:tcPr>
          <w:p w14:paraId="52459D28"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3AAE2CB" w14:textId="77777777" w:rsidR="001D2BEE" w:rsidRDefault="001D2BEE" w:rsidP="0048401C">
            <w:pPr>
              <w:spacing w:after="120"/>
              <w:rPr>
                <w:rFonts w:ascii="Verdana" w:hAnsi="Verdana" w:cs="Courier New"/>
                <w:sz w:val="18"/>
                <w:szCs w:val="20"/>
              </w:rPr>
            </w:pPr>
            <w:r>
              <w:rPr>
                <w:rFonts w:ascii="Verdana" w:hAnsi="Verdana" w:cs="Courier New"/>
                <w:sz w:val="18"/>
                <w:szCs w:val="20"/>
              </w:rPr>
              <w:t>Example 19-18 – Two instances of “Serial0/0/1” should be “GigabitEthernet0/2” to match Figure 19-18.</w:t>
            </w:r>
          </w:p>
        </w:tc>
      </w:tr>
      <w:tr w:rsidR="001D2BEE" w14:paraId="7D395553" w14:textId="77777777" w:rsidTr="00543BA3">
        <w:tc>
          <w:tcPr>
            <w:tcW w:w="653" w:type="dxa"/>
          </w:tcPr>
          <w:p w14:paraId="5F7D7F62" w14:textId="77777777" w:rsidR="001D2BEE" w:rsidRDefault="001D2BEE" w:rsidP="00F630F5">
            <w:pPr>
              <w:spacing w:after="120"/>
              <w:rPr>
                <w:rFonts w:ascii="Verdana" w:hAnsi="Verdana" w:cs="Courier New"/>
                <w:sz w:val="18"/>
                <w:szCs w:val="20"/>
              </w:rPr>
            </w:pPr>
            <w:r>
              <w:rPr>
                <w:rFonts w:ascii="Verdana" w:hAnsi="Verdana" w:cs="Courier New"/>
                <w:sz w:val="18"/>
                <w:szCs w:val="20"/>
              </w:rPr>
              <w:t>468</w:t>
            </w:r>
          </w:p>
        </w:tc>
        <w:tc>
          <w:tcPr>
            <w:tcW w:w="715" w:type="dxa"/>
          </w:tcPr>
          <w:p w14:paraId="6C8CCE4E"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0D38244" w14:textId="77777777" w:rsidR="001D2BEE" w:rsidRDefault="001D2BEE" w:rsidP="0048401C">
            <w:pPr>
              <w:spacing w:after="120"/>
              <w:rPr>
                <w:rFonts w:ascii="Verdana" w:hAnsi="Verdana" w:cs="Courier New"/>
                <w:sz w:val="18"/>
                <w:szCs w:val="20"/>
              </w:rPr>
            </w:pPr>
            <w:r>
              <w:rPr>
                <w:rFonts w:ascii="Verdana" w:hAnsi="Verdana" w:cs="Courier New"/>
                <w:sz w:val="18"/>
                <w:szCs w:val="20"/>
              </w:rPr>
              <w:t>Table 19-8 – last row – replace the “Purpose” with: “Lists information about all routes known by the local RIP process, including those not added to the local router’s routing table.”</w:t>
            </w:r>
          </w:p>
        </w:tc>
      </w:tr>
      <w:tr w:rsidR="001D2BEE" w14:paraId="03D85DEE" w14:textId="77777777" w:rsidTr="00543BA3">
        <w:tc>
          <w:tcPr>
            <w:tcW w:w="653" w:type="dxa"/>
          </w:tcPr>
          <w:p w14:paraId="1B8B3D47" w14:textId="77777777" w:rsidR="001D2BEE" w:rsidRDefault="001D2BEE" w:rsidP="00F630F5">
            <w:pPr>
              <w:spacing w:after="120"/>
              <w:rPr>
                <w:rFonts w:ascii="Verdana" w:hAnsi="Verdana" w:cs="Courier New"/>
                <w:sz w:val="18"/>
                <w:szCs w:val="20"/>
              </w:rPr>
            </w:pPr>
            <w:r>
              <w:rPr>
                <w:rFonts w:ascii="Verdana" w:hAnsi="Verdana" w:cs="Courier New"/>
                <w:sz w:val="18"/>
                <w:szCs w:val="20"/>
              </w:rPr>
              <w:t>537</w:t>
            </w:r>
          </w:p>
        </w:tc>
        <w:tc>
          <w:tcPr>
            <w:tcW w:w="715" w:type="dxa"/>
          </w:tcPr>
          <w:p w14:paraId="47BA8477"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978A17F" w14:textId="77777777" w:rsidR="001D2BEE" w:rsidRDefault="001D2BEE" w:rsidP="0048401C">
            <w:pPr>
              <w:spacing w:after="120"/>
              <w:rPr>
                <w:rFonts w:ascii="Verdana" w:hAnsi="Verdana" w:cs="Courier New"/>
                <w:sz w:val="18"/>
                <w:szCs w:val="20"/>
              </w:rPr>
            </w:pPr>
            <w:r>
              <w:rPr>
                <w:rFonts w:ascii="Verdana" w:hAnsi="Verdana" w:cs="Courier New"/>
                <w:sz w:val="18"/>
                <w:szCs w:val="20"/>
              </w:rPr>
              <w:t>Figure 22-5 – R3’s F0/0 interface address “172.16.</w:t>
            </w:r>
            <w:r w:rsidRPr="00A723A1">
              <w:rPr>
                <w:rFonts w:ascii="Verdana" w:hAnsi="Verdana" w:cs="Courier New"/>
                <w:sz w:val="18"/>
                <w:szCs w:val="20"/>
                <w:highlight w:val="yellow"/>
              </w:rPr>
              <w:t>5</w:t>
            </w:r>
            <w:r>
              <w:rPr>
                <w:rFonts w:ascii="Verdana" w:hAnsi="Verdana" w:cs="Courier New"/>
                <w:sz w:val="18"/>
                <w:szCs w:val="20"/>
              </w:rPr>
              <w:t>.1” – change to “172.16.</w:t>
            </w:r>
            <w:r w:rsidRPr="00A723A1">
              <w:rPr>
                <w:rFonts w:ascii="Verdana" w:hAnsi="Verdana" w:cs="Courier New"/>
                <w:sz w:val="18"/>
                <w:szCs w:val="20"/>
                <w:highlight w:val="yellow"/>
              </w:rPr>
              <w:t>6</w:t>
            </w:r>
            <w:r>
              <w:rPr>
                <w:rFonts w:ascii="Verdana" w:hAnsi="Verdana" w:cs="Courier New"/>
                <w:sz w:val="18"/>
                <w:szCs w:val="20"/>
              </w:rPr>
              <w:t>.1”.</w:t>
            </w:r>
          </w:p>
        </w:tc>
      </w:tr>
      <w:tr w:rsidR="001D2BEE" w14:paraId="41A4A7A2" w14:textId="77777777" w:rsidTr="00543BA3">
        <w:tc>
          <w:tcPr>
            <w:tcW w:w="653" w:type="dxa"/>
          </w:tcPr>
          <w:p w14:paraId="1E98304E" w14:textId="77777777" w:rsidR="001D2BEE" w:rsidRDefault="001D2BEE" w:rsidP="00F630F5">
            <w:pPr>
              <w:spacing w:after="120"/>
              <w:rPr>
                <w:rFonts w:ascii="Verdana" w:hAnsi="Verdana" w:cs="Courier New"/>
                <w:sz w:val="18"/>
                <w:szCs w:val="20"/>
              </w:rPr>
            </w:pPr>
            <w:r>
              <w:rPr>
                <w:rFonts w:ascii="Verdana" w:hAnsi="Verdana" w:cs="Courier New"/>
                <w:sz w:val="18"/>
                <w:szCs w:val="20"/>
              </w:rPr>
              <w:t>572</w:t>
            </w:r>
          </w:p>
        </w:tc>
        <w:tc>
          <w:tcPr>
            <w:tcW w:w="715" w:type="dxa"/>
          </w:tcPr>
          <w:p w14:paraId="4F81E6B1"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57C03A5" w14:textId="77777777" w:rsidR="001D2BEE" w:rsidRDefault="001D2BEE" w:rsidP="0048401C">
            <w:pPr>
              <w:spacing w:after="120"/>
              <w:rPr>
                <w:rFonts w:ascii="Verdana" w:hAnsi="Verdana" w:cs="Courier New"/>
                <w:sz w:val="18"/>
                <w:szCs w:val="20"/>
              </w:rPr>
            </w:pPr>
            <w:r>
              <w:rPr>
                <w:rFonts w:ascii="Verdana" w:hAnsi="Verdana" w:cs="Courier New"/>
                <w:sz w:val="18"/>
                <w:szCs w:val="20"/>
              </w:rPr>
              <w:t xml:space="preserve">Paragraph above Example 24-2 – Reference to Figure </w:t>
            </w:r>
            <w:r w:rsidRPr="00A065F0">
              <w:rPr>
                <w:rFonts w:ascii="Verdana" w:hAnsi="Verdana" w:cs="Courier New"/>
                <w:sz w:val="18"/>
                <w:szCs w:val="20"/>
                <w:highlight w:val="yellow"/>
              </w:rPr>
              <w:t>24-7</w:t>
            </w:r>
            <w:r>
              <w:rPr>
                <w:rFonts w:ascii="Verdana" w:hAnsi="Verdana" w:cs="Courier New"/>
                <w:sz w:val="18"/>
                <w:szCs w:val="20"/>
              </w:rPr>
              <w:t xml:space="preserve"> should be </w:t>
            </w:r>
            <w:r w:rsidRPr="00A065F0">
              <w:rPr>
                <w:rFonts w:ascii="Verdana" w:hAnsi="Verdana" w:cs="Courier New"/>
                <w:sz w:val="18"/>
                <w:szCs w:val="20"/>
                <w:highlight w:val="yellow"/>
              </w:rPr>
              <w:t>24-6</w:t>
            </w:r>
            <w:r>
              <w:rPr>
                <w:rFonts w:ascii="Verdana" w:hAnsi="Verdana" w:cs="Courier New"/>
                <w:sz w:val="18"/>
                <w:szCs w:val="20"/>
              </w:rPr>
              <w:t>.</w:t>
            </w:r>
          </w:p>
        </w:tc>
      </w:tr>
      <w:tr w:rsidR="001D2BEE" w14:paraId="5F16DE7B" w14:textId="77777777" w:rsidTr="00543BA3">
        <w:tc>
          <w:tcPr>
            <w:tcW w:w="653" w:type="dxa"/>
          </w:tcPr>
          <w:p w14:paraId="64BFD1C2" w14:textId="77777777" w:rsidR="001D2BEE" w:rsidRDefault="001D2BEE" w:rsidP="00F630F5">
            <w:pPr>
              <w:spacing w:after="120"/>
              <w:rPr>
                <w:rFonts w:ascii="Verdana" w:hAnsi="Verdana" w:cs="Courier New"/>
                <w:sz w:val="18"/>
                <w:szCs w:val="20"/>
              </w:rPr>
            </w:pPr>
            <w:r>
              <w:rPr>
                <w:rFonts w:ascii="Verdana" w:hAnsi="Verdana" w:cs="Courier New"/>
                <w:sz w:val="18"/>
                <w:szCs w:val="20"/>
              </w:rPr>
              <w:t>635</w:t>
            </w:r>
          </w:p>
        </w:tc>
        <w:tc>
          <w:tcPr>
            <w:tcW w:w="715" w:type="dxa"/>
          </w:tcPr>
          <w:p w14:paraId="2DDEEC80"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C23A8FD" w14:textId="77777777" w:rsidR="001D2BEE" w:rsidRDefault="001D2BEE" w:rsidP="0048401C">
            <w:pPr>
              <w:spacing w:after="120"/>
              <w:rPr>
                <w:rFonts w:ascii="Verdana" w:hAnsi="Verdana" w:cs="Courier New"/>
                <w:sz w:val="18"/>
                <w:szCs w:val="20"/>
              </w:rPr>
            </w:pPr>
            <w:r>
              <w:rPr>
                <w:rFonts w:ascii="Verdana" w:hAnsi="Verdana" w:cs="Courier New"/>
                <w:sz w:val="18"/>
                <w:szCs w:val="20"/>
              </w:rPr>
              <w:t>Example 26-10 – 2</w:t>
            </w:r>
            <w:r w:rsidRPr="001D0912">
              <w:rPr>
                <w:rFonts w:ascii="Verdana" w:hAnsi="Verdana" w:cs="Courier New"/>
                <w:sz w:val="18"/>
                <w:szCs w:val="20"/>
                <w:vertAlign w:val="superscript"/>
              </w:rPr>
              <w:t>nd</w:t>
            </w:r>
            <w:r>
              <w:rPr>
                <w:rFonts w:ascii="Verdana" w:hAnsi="Verdana" w:cs="Courier New"/>
                <w:sz w:val="18"/>
                <w:szCs w:val="20"/>
              </w:rPr>
              <w:t xml:space="preserve"> to last line – the command should reference interface </w:t>
            </w:r>
            <w:r w:rsidRPr="001D0912">
              <w:rPr>
                <w:rFonts w:ascii="Verdana" w:hAnsi="Verdana" w:cs="Courier New"/>
                <w:sz w:val="18"/>
                <w:szCs w:val="20"/>
                <w:highlight w:val="yellow"/>
              </w:rPr>
              <w:t>G0/1</w:t>
            </w:r>
            <w:r>
              <w:rPr>
                <w:rFonts w:ascii="Verdana" w:hAnsi="Verdana" w:cs="Courier New"/>
                <w:sz w:val="18"/>
                <w:szCs w:val="20"/>
              </w:rPr>
              <w:t xml:space="preserve">, not </w:t>
            </w:r>
            <w:r w:rsidRPr="001D0912">
              <w:rPr>
                <w:rFonts w:ascii="Verdana" w:hAnsi="Verdana" w:cs="Courier New"/>
                <w:sz w:val="18"/>
                <w:szCs w:val="20"/>
                <w:highlight w:val="yellow"/>
              </w:rPr>
              <w:t>G0/2</w:t>
            </w:r>
            <w:r>
              <w:rPr>
                <w:rFonts w:ascii="Verdana" w:hAnsi="Verdana" w:cs="Courier New"/>
                <w:sz w:val="18"/>
                <w:szCs w:val="20"/>
              </w:rPr>
              <w:t>. Likewise, in the paragraph below the example, change two instances of “</w:t>
            </w:r>
            <w:r w:rsidRPr="001D0912">
              <w:rPr>
                <w:rFonts w:ascii="Verdana" w:hAnsi="Verdana" w:cs="Courier New"/>
                <w:sz w:val="18"/>
                <w:szCs w:val="20"/>
                <w:highlight w:val="yellow"/>
              </w:rPr>
              <w:t>R2’s G0/2</w:t>
            </w:r>
            <w:r>
              <w:rPr>
                <w:rFonts w:ascii="Verdana" w:hAnsi="Verdana" w:cs="Courier New"/>
                <w:sz w:val="18"/>
                <w:szCs w:val="20"/>
              </w:rPr>
              <w:t>” to “</w:t>
            </w:r>
            <w:r w:rsidRPr="001D0912">
              <w:rPr>
                <w:rFonts w:ascii="Verdana" w:hAnsi="Verdana" w:cs="Courier New"/>
                <w:sz w:val="18"/>
                <w:szCs w:val="20"/>
                <w:highlight w:val="yellow"/>
              </w:rPr>
              <w:t>R2’s G0/1</w:t>
            </w:r>
            <w:r>
              <w:rPr>
                <w:rFonts w:ascii="Verdana" w:hAnsi="Verdana" w:cs="Courier New"/>
                <w:sz w:val="18"/>
                <w:szCs w:val="20"/>
              </w:rPr>
              <w:t>” to match.</w:t>
            </w:r>
          </w:p>
        </w:tc>
      </w:tr>
      <w:tr w:rsidR="001D2BEE" w14:paraId="3EFD38B2" w14:textId="77777777" w:rsidTr="00543BA3">
        <w:tc>
          <w:tcPr>
            <w:tcW w:w="653" w:type="dxa"/>
          </w:tcPr>
          <w:p w14:paraId="0B61F618" w14:textId="77777777" w:rsidR="001D2BEE" w:rsidRDefault="001D2BEE" w:rsidP="00F630F5">
            <w:pPr>
              <w:spacing w:after="120"/>
              <w:rPr>
                <w:rFonts w:ascii="Verdana" w:hAnsi="Verdana" w:cs="Courier New"/>
                <w:sz w:val="18"/>
                <w:szCs w:val="20"/>
              </w:rPr>
            </w:pPr>
            <w:r>
              <w:rPr>
                <w:rFonts w:ascii="Verdana" w:hAnsi="Verdana" w:cs="Courier New"/>
                <w:sz w:val="18"/>
                <w:szCs w:val="20"/>
              </w:rPr>
              <w:t>665</w:t>
            </w:r>
          </w:p>
        </w:tc>
        <w:tc>
          <w:tcPr>
            <w:tcW w:w="715" w:type="dxa"/>
          </w:tcPr>
          <w:p w14:paraId="482AAF4A"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893890B" w14:textId="77777777" w:rsidR="001D2BEE" w:rsidRDefault="001D2BEE" w:rsidP="0048401C">
            <w:pPr>
              <w:spacing w:after="120"/>
              <w:rPr>
                <w:rFonts w:ascii="Verdana" w:hAnsi="Verdana" w:cs="Courier New"/>
                <w:sz w:val="18"/>
                <w:szCs w:val="20"/>
              </w:rPr>
            </w:pPr>
            <w:r>
              <w:rPr>
                <w:rFonts w:ascii="Verdana" w:hAnsi="Verdana" w:cs="Courier New"/>
                <w:sz w:val="18"/>
                <w:szCs w:val="20"/>
              </w:rPr>
              <w:t>Table 27-6 – last row – insert “</w:t>
            </w:r>
            <w:r w:rsidRPr="0071221E">
              <w:rPr>
                <w:rFonts w:ascii="Verdana" w:hAnsi="Verdana" w:cs="Courier New"/>
                <w:b/>
                <w:sz w:val="18"/>
                <w:szCs w:val="20"/>
              </w:rPr>
              <w:t>static</w:t>
            </w:r>
            <w:r>
              <w:rPr>
                <w:rFonts w:ascii="Verdana" w:hAnsi="Verdana" w:cs="Courier New"/>
                <w:sz w:val="18"/>
                <w:szCs w:val="20"/>
              </w:rPr>
              <w:t>” after “</w:t>
            </w:r>
            <w:r w:rsidRPr="0071221E">
              <w:rPr>
                <w:rFonts w:ascii="Verdana" w:hAnsi="Verdana" w:cs="Courier New"/>
                <w:b/>
                <w:sz w:val="18"/>
                <w:szCs w:val="20"/>
              </w:rPr>
              <w:t>source</w:t>
            </w:r>
            <w:r>
              <w:rPr>
                <w:rFonts w:ascii="Verdana" w:hAnsi="Verdana" w:cs="Courier New"/>
                <w:sz w:val="18"/>
                <w:szCs w:val="20"/>
              </w:rPr>
              <w:t>” in the leftmost cell.</w:t>
            </w:r>
          </w:p>
        </w:tc>
      </w:tr>
      <w:tr w:rsidR="001D2BEE" w14:paraId="2B0713A3" w14:textId="77777777" w:rsidTr="00543BA3">
        <w:tc>
          <w:tcPr>
            <w:tcW w:w="653" w:type="dxa"/>
          </w:tcPr>
          <w:p w14:paraId="7B1F8046" w14:textId="77777777" w:rsidR="001D2BEE" w:rsidRDefault="001D2BEE" w:rsidP="00F630F5">
            <w:pPr>
              <w:spacing w:after="120"/>
              <w:rPr>
                <w:rFonts w:ascii="Verdana" w:hAnsi="Verdana" w:cs="Courier New"/>
                <w:sz w:val="18"/>
                <w:szCs w:val="20"/>
              </w:rPr>
            </w:pPr>
            <w:r>
              <w:rPr>
                <w:rFonts w:ascii="Verdana" w:hAnsi="Verdana" w:cs="Courier New"/>
                <w:sz w:val="18"/>
                <w:szCs w:val="20"/>
              </w:rPr>
              <w:t>779</w:t>
            </w:r>
          </w:p>
        </w:tc>
        <w:tc>
          <w:tcPr>
            <w:tcW w:w="715" w:type="dxa"/>
          </w:tcPr>
          <w:p w14:paraId="02890820"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E096F7E" w14:textId="77777777" w:rsidR="001D2BEE" w:rsidRPr="00602900" w:rsidRDefault="001D2BEE" w:rsidP="0048401C">
            <w:pPr>
              <w:spacing w:after="120"/>
              <w:rPr>
                <w:rFonts w:ascii="Verdana" w:hAnsi="Verdana" w:cs="Courier New"/>
                <w:sz w:val="18"/>
                <w:szCs w:val="18"/>
              </w:rPr>
            </w:pPr>
            <w:r w:rsidRPr="00602900">
              <w:rPr>
                <w:rFonts w:ascii="Verdana" w:hAnsi="Verdana" w:cs="Courier New"/>
                <w:sz w:val="18"/>
                <w:szCs w:val="18"/>
              </w:rPr>
              <w:t>Question 4 – change answer A to “</w:t>
            </w:r>
            <w:r w:rsidRPr="00602900">
              <w:rPr>
                <w:rFonts w:ascii="Verdana" w:hAnsi="Verdana" w:cs="Arial"/>
                <w:color w:val="1A1A1A"/>
                <w:sz w:val="18"/>
                <w:szCs w:val="18"/>
              </w:rPr>
              <w:t xml:space="preserve">The </w:t>
            </w:r>
            <w:r w:rsidRPr="00602900">
              <w:rPr>
                <w:rFonts w:ascii="Verdana" w:hAnsi="Verdana" w:cs="Arial"/>
                <w:b/>
                <w:bCs/>
                <w:color w:val="1A1A1A"/>
                <w:sz w:val="18"/>
                <w:szCs w:val="18"/>
              </w:rPr>
              <w:t>ntp server</w:t>
            </w:r>
            <w:r w:rsidRPr="00602900">
              <w:rPr>
                <w:rFonts w:ascii="Verdana" w:hAnsi="Verdana" w:cs="Arial"/>
                <w:color w:val="1A1A1A"/>
                <w:sz w:val="18"/>
                <w:szCs w:val="18"/>
              </w:rPr>
              <w:t xml:space="preserve"> command enables R2’s NTP server funct</w:t>
            </w:r>
            <w:r>
              <w:rPr>
                <w:rFonts w:ascii="Verdana" w:hAnsi="Verdana" w:cs="Arial"/>
                <w:color w:val="1A1A1A"/>
                <w:sz w:val="18"/>
                <w:szCs w:val="18"/>
              </w:rPr>
              <w:t>ion but not the client function</w:t>
            </w:r>
            <w:r w:rsidRPr="00602900">
              <w:rPr>
                <w:rFonts w:ascii="Verdana" w:hAnsi="Verdana" w:cs="Arial"/>
                <w:color w:val="1A1A1A"/>
                <w:sz w:val="18"/>
                <w:szCs w:val="18"/>
              </w:rPr>
              <w:t>”</w:t>
            </w:r>
            <w:r>
              <w:rPr>
                <w:rFonts w:ascii="Verdana" w:hAnsi="Verdana" w:cs="Arial"/>
                <w:color w:val="1A1A1A"/>
                <w:sz w:val="18"/>
                <w:szCs w:val="18"/>
              </w:rPr>
              <w:t>, a</w:t>
            </w:r>
            <w:r w:rsidRPr="00602900">
              <w:rPr>
                <w:rFonts w:ascii="Verdana" w:hAnsi="Verdana" w:cs="Arial"/>
                <w:color w:val="1A1A1A"/>
                <w:sz w:val="18"/>
                <w:szCs w:val="18"/>
              </w:rPr>
              <w:t xml:space="preserve">nd answer B to “The </w:t>
            </w:r>
            <w:r w:rsidRPr="00602900">
              <w:rPr>
                <w:rFonts w:ascii="Verdana" w:hAnsi="Verdana" w:cs="Arial"/>
                <w:b/>
                <w:bCs/>
                <w:color w:val="1A1A1A"/>
                <w:sz w:val="18"/>
                <w:szCs w:val="18"/>
              </w:rPr>
              <w:t>ntp server</w:t>
            </w:r>
            <w:r w:rsidRPr="00602900">
              <w:rPr>
                <w:rFonts w:ascii="Verdana" w:hAnsi="Verdana" w:cs="Arial"/>
                <w:color w:val="1A1A1A"/>
                <w:sz w:val="18"/>
                <w:szCs w:val="18"/>
              </w:rPr>
              <w:t xml:space="preserve"> command enables R2's NTP server and client functions.”</w:t>
            </w:r>
          </w:p>
        </w:tc>
      </w:tr>
      <w:tr w:rsidR="001D2BEE" w14:paraId="22B4F3D9" w14:textId="77777777" w:rsidTr="00543BA3">
        <w:tc>
          <w:tcPr>
            <w:tcW w:w="653" w:type="dxa"/>
          </w:tcPr>
          <w:p w14:paraId="49891D0B" w14:textId="77777777" w:rsidR="001D2BEE" w:rsidRDefault="001D2BEE" w:rsidP="00F630F5">
            <w:pPr>
              <w:spacing w:after="120"/>
              <w:rPr>
                <w:rFonts w:ascii="Verdana" w:hAnsi="Verdana" w:cs="Courier New"/>
                <w:sz w:val="18"/>
                <w:szCs w:val="20"/>
              </w:rPr>
            </w:pPr>
            <w:r>
              <w:rPr>
                <w:rFonts w:ascii="Verdana" w:hAnsi="Verdana" w:cs="Courier New"/>
                <w:sz w:val="18"/>
                <w:szCs w:val="20"/>
              </w:rPr>
              <w:lastRenderedPageBreak/>
              <w:t>783</w:t>
            </w:r>
          </w:p>
        </w:tc>
        <w:tc>
          <w:tcPr>
            <w:tcW w:w="715" w:type="dxa"/>
          </w:tcPr>
          <w:p w14:paraId="2C2C1E1E"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338C26B0" w14:textId="77777777" w:rsidR="001D2BEE" w:rsidRDefault="001D2BEE" w:rsidP="0048401C">
            <w:pPr>
              <w:spacing w:after="120"/>
              <w:rPr>
                <w:rFonts w:ascii="Verdana" w:hAnsi="Verdana" w:cs="Courier New"/>
                <w:sz w:val="18"/>
                <w:szCs w:val="20"/>
              </w:rPr>
            </w:pPr>
            <w:r>
              <w:rPr>
                <w:rFonts w:ascii="Verdana" w:hAnsi="Verdana" w:cs="Courier New"/>
                <w:sz w:val="18"/>
                <w:szCs w:val="20"/>
              </w:rPr>
              <w:t>Figure 33-3 – Keyword “Emergency” should instead be listed with numeral 0, and keyword “Alert” should instead be listed with numeral 1.</w:t>
            </w:r>
          </w:p>
        </w:tc>
      </w:tr>
      <w:tr w:rsidR="001D2BEE" w14:paraId="6D80F102" w14:textId="77777777" w:rsidTr="00543BA3">
        <w:tc>
          <w:tcPr>
            <w:tcW w:w="653" w:type="dxa"/>
          </w:tcPr>
          <w:p w14:paraId="12FB915E" w14:textId="77777777" w:rsidR="001D2BEE" w:rsidRDefault="001D2BEE" w:rsidP="00F630F5">
            <w:pPr>
              <w:spacing w:after="120"/>
              <w:rPr>
                <w:rFonts w:ascii="Verdana" w:hAnsi="Verdana" w:cs="Courier New"/>
                <w:sz w:val="18"/>
                <w:szCs w:val="20"/>
              </w:rPr>
            </w:pPr>
            <w:r>
              <w:rPr>
                <w:rFonts w:ascii="Verdana" w:hAnsi="Verdana" w:cs="Courier New"/>
                <w:sz w:val="18"/>
                <w:szCs w:val="20"/>
              </w:rPr>
              <w:t>841</w:t>
            </w:r>
          </w:p>
        </w:tc>
        <w:tc>
          <w:tcPr>
            <w:tcW w:w="715" w:type="dxa"/>
          </w:tcPr>
          <w:p w14:paraId="58048C34" w14:textId="77777777" w:rsidR="001D2BEE" w:rsidRDefault="001D2BE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183848D" w14:textId="77777777" w:rsidR="001D2BEE" w:rsidRDefault="001D2BEE" w:rsidP="0048401C">
            <w:pPr>
              <w:spacing w:after="120"/>
              <w:rPr>
                <w:rFonts w:ascii="Verdana" w:hAnsi="Verdana" w:cs="Courier New"/>
                <w:sz w:val="18"/>
                <w:szCs w:val="20"/>
              </w:rPr>
            </w:pPr>
            <w:r>
              <w:rPr>
                <w:rFonts w:ascii="Verdana" w:hAnsi="Verdana" w:cs="Courier New"/>
                <w:sz w:val="18"/>
                <w:szCs w:val="20"/>
              </w:rPr>
              <w:t>Last paragraph, 3</w:t>
            </w:r>
            <w:r w:rsidRPr="006A09B9">
              <w:rPr>
                <w:rFonts w:ascii="Verdana" w:hAnsi="Verdana" w:cs="Courier New"/>
                <w:sz w:val="18"/>
                <w:szCs w:val="20"/>
                <w:vertAlign w:val="superscript"/>
              </w:rPr>
              <w:t>rd</w:t>
            </w:r>
            <w:r>
              <w:rPr>
                <w:rFonts w:ascii="Verdana" w:hAnsi="Verdana" w:cs="Courier New"/>
                <w:sz w:val="18"/>
                <w:szCs w:val="20"/>
              </w:rPr>
              <w:t xml:space="preserve"> line, command </w:t>
            </w:r>
            <w:r w:rsidRPr="006A09B9">
              <w:rPr>
                <w:rFonts w:ascii="Verdana" w:hAnsi="Verdana" w:cs="Courier New"/>
                <w:b/>
                <w:sz w:val="18"/>
                <w:szCs w:val="20"/>
              </w:rPr>
              <w:t xml:space="preserve">configure </w:t>
            </w:r>
            <w:r w:rsidRPr="006A09B9">
              <w:rPr>
                <w:rFonts w:ascii="Verdana" w:hAnsi="Verdana" w:cs="Courier New"/>
                <w:b/>
                <w:sz w:val="18"/>
                <w:szCs w:val="20"/>
                <w:highlight w:val="yellow"/>
              </w:rPr>
              <w:t>restore</w:t>
            </w:r>
            <w:r>
              <w:rPr>
                <w:rFonts w:ascii="Verdana" w:hAnsi="Verdana" w:cs="Courier New"/>
                <w:sz w:val="18"/>
                <w:szCs w:val="20"/>
              </w:rPr>
              <w:t xml:space="preserve"> should be </w:t>
            </w:r>
            <w:r w:rsidRPr="006A09B9">
              <w:rPr>
                <w:rFonts w:ascii="Verdana" w:hAnsi="Verdana" w:cs="Courier New"/>
                <w:b/>
                <w:sz w:val="18"/>
                <w:szCs w:val="20"/>
              </w:rPr>
              <w:t xml:space="preserve">configure </w:t>
            </w:r>
            <w:r w:rsidRPr="006A09B9">
              <w:rPr>
                <w:rFonts w:ascii="Verdana" w:hAnsi="Verdana" w:cs="Courier New"/>
                <w:b/>
                <w:sz w:val="18"/>
                <w:szCs w:val="20"/>
                <w:highlight w:val="yellow"/>
              </w:rPr>
              <w:t>replace</w:t>
            </w:r>
            <w:r>
              <w:rPr>
                <w:rFonts w:ascii="Verdana" w:hAnsi="Verdana" w:cs="Courier New"/>
                <w:sz w:val="18"/>
                <w:szCs w:val="20"/>
              </w:rPr>
              <w:t>.</w:t>
            </w:r>
          </w:p>
        </w:tc>
      </w:tr>
      <w:tr w:rsidR="001D2BEE" w14:paraId="7D1CCA5A" w14:textId="77777777" w:rsidTr="00543BA3">
        <w:tc>
          <w:tcPr>
            <w:tcW w:w="653" w:type="dxa"/>
          </w:tcPr>
          <w:p w14:paraId="06AAC720" w14:textId="77777777" w:rsidR="001D2BEE" w:rsidRDefault="001D2BEE" w:rsidP="00F630F5">
            <w:pPr>
              <w:spacing w:after="120"/>
              <w:rPr>
                <w:rFonts w:ascii="Verdana" w:hAnsi="Verdana" w:cs="Courier New"/>
                <w:sz w:val="18"/>
                <w:szCs w:val="20"/>
              </w:rPr>
            </w:pPr>
            <w:r>
              <w:rPr>
                <w:rFonts w:ascii="Verdana" w:hAnsi="Verdana" w:cs="Courier New"/>
                <w:sz w:val="18"/>
                <w:szCs w:val="20"/>
              </w:rPr>
              <w:t>620</w:t>
            </w:r>
          </w:p>
        </w:tc>
        <w:tc>
          <w:tcPr>
            <w:tcW w:w="715" w:type="dxa"/>
          </w:tcPr>
          <w:p w14:paraId="60A5D198" w14:textId="77777777" w:rsidR="001D2BEE" w:rsidRDefault="001D2BEE"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4668C2F" w14:textId="77777777" w:rsidR="001D2BEE" w:rsidRDefault="001D2BEE" w:rsidP="0026049E">
            <w:pPr>
              <w:spacing w:after="120"/>
              <w:rPr>
                <w:rFonts w:ascii="Verdana" w:hAnsi="Verdana" w:cs="Courier New"/>
                <w:sz w:val="18"/>
                <w:szCs w:val="20"/>
              </w:rPr>
            </w:pPr>
            <w:r>
              <w:rPr>
                <w:rFonts w:ascii="Verdana" w:hAnsi="Verdana" w:cs="Courier New"/>
                <w:sz w:val="18"/>
                <w:szCs w:val="20"/>
              </w:rPr>
              <w:t>Row for DHCP Server, in the right-most column, change the – to “</w:t>
            </w:r>
            <w:proofErr w:type="spellStart"/>
            <w:r w:rsidRPr="00C94732">
              <w:rPr>
                <w:rFonts w:ascii="Verdana" w:hAnsi="Verdana" w:cs="Courier New"/>
                <w:b/>
                <w:sz w:val="18"/>
                <w:szCs w:val="20"/>
              </w:rPr>
              <w:t>bootps</w:t>
            </w:r>
            <w:proofErr w:type="spellEnd"/>
            <w:r>
              <w:rPr>
                <w:rFonts w:ascii="Verdana" w:hAnsi="Verdana" w:cs="Courier New"/>
                <w:sz w:val="18"/>
                <w:szCs w:val="20"/>
              </w:rPr>
              <w:t>”. Next row, for DHCP Client, in the right-most column, change the – to “</w:t>
            </w:r>
            <w:proofErr w:type="spellStart"/>
            <w:r w:rsidRPr="00C94732">
              <w:rPr>
                <w:rFonts w:ascii="Verdana" w:hAnsi="Verdana" w:cs="Courier New"/>
                <w:b/>
                <w:sz w:val="18"/>
                <w:szCs w:val="20"/>
              </w:rPr>
              <w:t>bootpc</w:t>
            </w:r>
            <w:proofErr w:type="spellEnd"/>
            <w:r>
              <w:rPr>
                <w:rFonts w:ascii="Verdana" w:hAnsi="Verdana" w:cs="Courier New"/>
                <w:sz w:val="18"/>
                <w:szCs w:val="20"/>
              </w:rPr>
              <w:t>”.</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722A7" w14:textId="77777777" w:rsidR="00BE04B2" w:rsidRDefault="00BE04B2">
      <w:r>
        <w:separator/>
      </w:r>
    </w:p>
  </w:endnote>
  <w:endnote w:type="continuationSeparator" w:id="0">
    <w:p w14:paraId="5B0576B1" w14:textId="77777777" w:rsidR="00BE04B2" w:rsidRDefault="00BE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C Pdigita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585E" w14:textId="030E2515" w:rsidR="00D01EDD" w:rsidRDefault="00D01EDD" w:rsidP="0057126E">
    <w:pPr>
      <w:pStyle w:val="Footer"/>
      <w:jc w:val="center"/>
    </w:pPr>
    <w:r>
      <w:t>Cisco Press ICND1</w:t>
    </w:r>
    <w:r w:rsidR="0034739F">
      <w:t xml:space="preserve"> 100-105</w:t>
    </w:r>
    <w:r>
      <w:t xml:space="preserve"> Official Cert Guide – Errata</w:t>
    </w:r>
  </w:p>
  <w:p w14:paraId="353805CF" w14:textId="34E37AE5" w:rsidR="00D01EDD" w:rsidRDefault="00D01EDD" w:rsidP="00CF3F9C">
    <w:pPr>
      <w:pStyle w:val="Footer"/>
      <w:jc w:val="center"/>
    </w:pPr>
    <w:r>
      <w:t xml:space="preserve">Last Update: </w:t>
    </w:r>
    <w:r w:rsidR="00823C05">
      <w:t>Dec. 1</w:t>
    </w:r>
    <w:r w:rsidR="00823C05" w:rsidRPr="00823C05">
      <w:rPr>
        <w:vertAlign w:val="superscript"/>
      </w:rPr>
      <w:t>st</w:t>
    </w:r>
    <w:r w:rsidR="00823C05">
      <w:t xml:space="preserve">, </w:t>
    </w:r>
    <w:r w:rsidR="00D226ED">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01B6" w14:textId="77777777" w:rsidR="00BE04B2" w:rsidRDefault="00BE04B2">
      <w:r>
        <w:separator/>
      </w:r>
    </w:p>
  </w:footnote>
  <w:footnote w:type="continuationSeparator" w:id="0">
    <w:p w14:paraId="422B38AA" w14:textId="77777777" w:rsidR="00BE04B2" w:rsidRDefault="00BE0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15"/>
    <w:rsid w:val="000005F7"/>
    <w:rsid w:val="00021201"/>
    <w:rsid w:val="000218E9"/>
    <w:rsid w:val="00021B64"/>
    <w:rsid w:val="00023B21"/>
    <w:rsid w:val="000301C6"/>
    <w:rsid w:val="00032D7A"/>
    <w:rsid w:val="00043DD4"/>
    <w:rsid w:val="00050854"/>
    <w:rsid w:val="00060628"/>
    <w:rsid w:val="00073CB0"/>
    <w:rsid w:val="000801FD"/>
    <w:rsid w:val="00083EB6"/>
    <w:rsid w:val="0008554E"/>
    <w:rsid w:val="00087B53"/>
    <w:rsid w:val="00090F7B"/>
    <w:rsid w:val="000B0228"/>
    <w:rsid w:val="000C25AD"/>
    <w:rsid w:val="000D5D2B"/>
    <w:rsid w:val="000E0B3E"/>
    <w:rsid w:val="000E1814"/>
    <w:rsid w:val="000F17D3"/>
    <w:rsid w:val="000F3776"/>
    <w:rsid w:val="00101C6D"/>
    <w:rsid w:val="001044BB"/>
    <w:rsid w:val="001117CD"/>
    <w:rsid w:val="0012059F"/>
    <w:rsid w:val="001227E0"/>
    <w:rsid w:val="00135147"/>
    <w:rsid w:val="00135ED9"/>
    <w:rsid w:val="00140E05"/>
    <w:rsid w:val="00140E35"/>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4CAE"/>
    <w:rsid w:val="002353A9"/>
    <w:rsid w:val="002417A8"/>
    <w:rsid w:val="00247167"/>
    <w:rsid w:val="00256EA8"/>
    <w:rsid w:val="00257DCB"/>
    <w:rsid w:val="00257E5D"/>
    <w:rsid w:val="0026049E"/>
    <w:rsid w:val="00263566"/>
    <w:rsid w:val="00265638"/>
    <w:rsid w:val="0027235D"/>
    <w:rsid w:val="00273D68"/>
    <w:rsid w:val="0028032F"/>
    <w:rsid w:val="00281025"/>
    <w:rsid w:val="00281837"/>
    <w:rsid w:val="00281900"/>
    <w:rsid w:val="0029163D"/>
    <w:rsid w:val="0029275E"/>
    <w:rsid w:val="00295BFE"/>
    <w:rsid w:val="002A1A34"/>
    <w:rsid w:val="002B5A27"/>
    <w:rsid w:val="002C105E"/>
    <w:rsid w:val="002C575B"/>
    <w:rsid w:val="002C7369"/>
    <w:rsid w:val="002D315F"/>
    <w:rsid w:val="002D7BE3"/>
    <w:rsid w:val="002E2C31"/>
    <w:rsid w:val="002F38DE"/>
    <w:rsid w:val="002F6547"/>
    <w:rsid w:val="00300DE9"/>
    <w:rsid w:val="00303DCC"/>
    <w:rsid w:val="00307713"/>
    <w:rsid w:val="0031403E"/>
    <w:rsid w:val="00325128"/>
    <w:rsid w:val="0034739F"/>
    <w:rsid w:val="003505F7"/>
    <w:rsid w:val="00352938"/>
    <w:rsid w:val="00357773"/>
    <w:rsid w:val="00364D1C"/>
    <w:rsid w:val="003659CF"/>
    <w:rsid w:val="00367999"/>
    <w:rsid w:val="00370F40"/>
    <w:rsid w:val="00375787"/>
    <w:rsid w:val="00376D0A"/>
    <w:rsid w:val="0038279B"/>
    <w:rsid w:val="00385A1D"/>
    <w:rsid w:val="003901D5"/>
    <w:rsid w:val="00394B75"/>
    <w:rsid w:val="003A702F"/>
    <w:rsid w:val="003A7475"/>
    <w:rsid w:val="003B05E7"/>
    <w:rsid w:val="003B104F"/>
    <w:rsid w:val="003B4B04"/>
    <w:rsid w:val="003C7A82"/>
    <w:rsid w:val="003D1C7E"/>
    <w:rsid w:val="003E1471"/>
    <w:rsid w:val="003E33AE"/>
    <w:rsid w:val="003E554E"/>
    <w:rsid w:val="003E6D69"/>
    <w:rsid w:val="003F16C7"/>
    <w:rsid w:val="003F2AFC"/>
    <w:rsid w:val="003F33A6"/>
    <w:rsid w:val="003F4ECC"/>
    <w:rsid w:val="00411560"/>
    <w:rsid w:val="00415CE1"/>
    <w:rsid w:val="00417737"/>
    <w:rsid w:val="004206B7"/>
    <w:rsid w:val="00420862"/>
    <w:rsid w:val="0043481A"/>
    <w:rsid w:val="0045048F"/>
    <w:rsid w:val="00467828"/>
    <w:rsid w:val="004811BF"/>
    <w:rsid w:val="0048401C"/>
    <w:rsid w:val="004861FB"/>
    <w:rsid w:val="00492EC0"/>
    <w:rsid w:val="00494D25"/>
    <w:rsid w:val="004A1D8A"/>
    <w:rsid w:val="004A4830"/>
    <w:rsid w:val="004B04C6"/>
    <w:rsid w:val="004B6B4B"/>
    <w:rsid w:val="004B7B55"/>
    <w:rsid w:val="004C18F3"/>
    <w:rsid w:val="004D5ECC"/>
    <w:rsid w:val="004E1BB7"/>
    <w:rsid w:val="004E3F1F"/>
    <w:rsid w:val="004E5BC9"/>
    <w:rsid w:val="004E6449"/>
    <w:rsid w:val="004F5BDC"/>
    <w:rsid w:val="005001AB"/>
    <w:rsid w:val="005056DA"/>
    <w:rsid w:val="00520DB9"/>
    <w:rsid w:val="0052144E"/>
    <w:rsid w:val="005349C9"/>
    <w:rsid w:val="00536514"/>
    <w:rsid w:val="005424D1"/>
    <w:rsid w:val="00543BA3"/>
    <w:rsid w:val="0055574E"/>
    <w:rsid w:val="005568F9"/>
    <w:rsid w:val="00556C58"/>
    <w:rsid w:val="0056004F"/>
    <w:rsid w:val="00562588"/>
    <w:rsid w:val="00564307"/>
    <w:rsid w:val="00564518"/>
    <w:rsid w:val="005663B0"/>
    <w:rsid w:val="00567E13"/>
    <w:rsid w:val="0057126E"/>
    <w:rsid w:val="00580ED7"/>
    <w:rsid w:val="00581294"/>
    <w:rsid w:val="0058377B"/>
    <w:rsid w:val="005870CE"/>
    <w:rsid w:val="005926C0"/>
    <w:rsid w:val="00593248"/>
    <w:rsid w:val="00593411"/>
    <w:rsid w:val="005A4672"/>
    <w:rsid w:val="005A5DC8"/>
    <w:rsid w:val="005B1246"/>
    <w:rsid w:val="005D304E"/>
    <w:rsid w:val="005D4F06"/>
    <w:rsid w:val="005E063A"/>
    <w:rsid w:val="005E3272"/>
    <w:rsid w:val="005F2EC6"/>
    <w:rsid w:val="00602900"/>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D11EE"/>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230AA"/>
    <w:rsid w:val="00730130"/>
    <w:rsid w:val="00734D89"/>
    <w:rsid w:val="0073764E"/>
    <w:rsid w:val="00740281"/>
    <w:rsid w:val="0075382D"/>
    <w:rsid w:val="007539FC"/>
    <w:rsid w:val="00761217"/>
    <w:rsid w:val="007620DA"/>
    <w:rsid w:val="00765522"/>
    <w:rsid w:val="00771182"/>
    <w:rsid w:val="0077316E"/>
    <w:rsid w:val="007731C7"/>
    <w:rsid w:val="00773AA0"/>
    <w:rsid w:val="0078201B"/>
    <w:rsid w:val="00784B19"/>
    <w:rsid w:val="007877CD"/>
    <w:rsid w:val="00790DB7"/>
    <w:rsid w:val="0079341B"/>
    <w:rsid w:val="007A53DB"/>
    <w:rsid w:val="007A545C"/>
    <w:rsid w:val="007A71F7"/>
    <w:rsid w:val="007A781F"/>
    <w:rsid w:val="007B0D0D"/>
    <w:rsid w:val="007B6FD6"/>
    <w:rsid w:val="007C1FD9"/>
    <w:rsid w:val="007C4F04"/>
    <w:rsid w:val="007C5F79"/>
    <w:rsid w:val="007E1F4E"/>
    <w:rsid w:val="007E5C50"/>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4F4B"/>
    <w:rsid w:val="0083670C"/>
    <w:rsid w:val="00837A14"/>
    <w:rsid w:val="00843830"/>
    <w:rsid w:val="00846815"/>
    <w:rsid w:val="008501EA"/>
    <w:rsid w:val="008516CC"/>
    <w:rsid w:val="00855FF9"/>
    <w:rsid w:val="00861212"/>
    <w:rsid w:val="00864C63"/>
    <w:rsid w:val="00867E21"/>
    <w:rsid w:val="00875288"/>
    <w:rsid w:val="0088018C"/>
    <w:rsid w:val="008829EC"/>
    <w:rsid w:val="008876B8"/>
    <w:rsid w:val="008900AA"/>
    <w:rsid w:val="0089555F"/>
    <w:rsid w:val="00895C00"/>
    <w:rsid w:val="008A48F2"/>
    <w:rsid w:val="008A4970"/>
    <w:rsid w:val="008B0A4D"/>
    <w:rsid w:val="008B22F1"/>
    <w:rsid w:val="008B2E4F"/>
    <w:rsid w:val="008C2633"/>
    <w:rsid w:val="008C42B6"/>
    <w:rsid w:val="008D4E31"/>
    <w:rsid w:val="008D7132"/>
    <w:rsid w:val="008E5C2F"/>
    <w:rsid w:val="008E640A"/>
    <w:rsid w:val="008E722E"/>
    <w:rsid w:val="008F29DC"/>
    <w:rsid w:val="00905ADB"/>
    <w:rsid w:val="00914349"/>
    <w:rsid w:val="00926722"/>
    <w:rsid w:val="00930004"/>
    <w:rsid w:val="00935BF7"/>
    <w:rsid w:val="009544FD"/>
    <w:rsid w:val="00955F13"/>
    <w:rsid w:val="00963239"/>
    <w:rsid w:val="00963906"/>
    <w:rsid w:val="0096399F"/>
    <w:rsid w:val="009748B6"/>
    <w:rsid w:val="00977D82"/>
    <w:rsid w:val="00981E8C"/>
    <w:rsid w:val="00984B63"/>
    <w:rsid w:val="00995C9B"/>
    <w:rsid w:val="00996D11"/>
    <w:rsid w:val="009A0E4A"/>
    <w:rsid w:val="009A4FED"/>
    <w:rsid w:val="009A608D"/>
    <w:rsid w:val="009B2881"/>
    <w:rsid w:val="009B5C99"/>
    <w:rsid w:val="009B60A2"/>
    <w:rsid w:val="009B66E4"/>
    <w:rsid w:val="009C5ECD"/>
    <w:rsid w:val="009C67FE"/>
    <w:rsid w:val="009D17A3"/>
    <w:rsid w:val="009D1E2E"/>
    <w:rsid w:val="009E029A"/>
    <w:rsid w:val="009F3172"/>
    <w:rsid w:val="009F4ABA"/>
    <w:rsid w:val="00A0495A"/>
    <w:rsid w:val="00A065F0"/>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3DDC"/>
    <w:rsid w:val="00AB51A7"/>
    <w:rsid w:val="00AB5D98"/>
    <w:rsid w:val="00AB66CA"/>
    <w:rsid w:val="00AB69A9"/>
    <w:rsid w:val="00AC3726"/>
    <w:rsid w:val="00AC436D"/>
    <w:rsid w:val="00AC50A7"/>
    <w:rsid w:val="00AC55CB"/>
    <w:rsid w:val="00AD39A7"/>
    <w:rsid w:val="00AE1352"/>
    <w:rsid w:val="00AE6B5A"/>
    <w:rsid w:val="00AF7743"/>
    <w:rsid w:val="00B02B7F"/>
    <w:rsid w:val="00B06893"/>
    <w:rsid w:val="00B06F65"/>
    <w:rsid w:val="00B10A41"/>
    <w:rsid w:val="00B12B83"/>
    <w:rsid w:val="00B226A7"/>
    <w:rsid w:val="00B2756F"/>
    <w:rsid w:val="00B31FB3"/>
    <w:rsid w:val="00B35A45"/>
    <w:rsid w:val="00B36166"/>
    <w:rsid w:val="00B369CD"/>
    <w:rsid w:val="00B3742A"/>
    <w:rsid w:val="00B5187B"/>
    <w:rsid w:val="00B5285B"/>
    <w:rsid w:val="00B625A4"/>
    <w:rsid w:val="00B70947"/>
    <w:rsid w:val="00B93123"/>
    <w:rsid w:val="00B94043"/>
    <w:rsid w:val="00BA032B"/>
    <w:rsid w:val="00BA48C2"/>
    <w:rsid w:val="00BC0C85"/>
    <w:rsid w:val="00BC473B"/>
    <w:rsid w:val="00BE04B2"/>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A346B"/>
    <w:rsid w:val="00CA4350"/>
    <w:rsid w:val="00CA7AC2"/>
    <w:rsid w:val="00CB08D0"/>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4CCE"/>
    <w:rsid w:val="00DC25FD"/>
    <w:rsid w:val="00DD2798"/>
    <w:rsid w:val="00DD3C67"/>
    <w:rsid w:val="00DD7994"/>
    <w:rsid w:val="00DE1204"/>
    <w:rsid w:val="00DE5A0D"/>
    <w:rsid w:val="00DE68AB"/>
    <w:rsid w:val="00DF0CCB"/>
    <w:rsid w:val="00DF4F9A"/>
    <w:rsid w:val="00E015E4"/>
    <w:rsid w:val="00E0194F"/>
    <w:rsid w:val="00E03C22"/>
    <w:rsid w:val="00E055E2"/>
    <w:rsid w:val="00E074A9"/>
    <w:rsid w:val="00E075AC"/>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B0AF3"/>
    <w:rsid w:val="00EB22FB"/>
    <w:rsid w:val="00EC1798"/>
    <w:rsid w:val="00EC5FDD"/>
    <w:rsid w:val="00ED2850"/>
    <w:rsid w:val="00ED6B2E"/>
    <w:rsid w:val="00EE03BF"/>
    <w:rsid w:val="00EE18A2"/>
    <w:rsid w:val="00EE2FFD"/>
    <w:rsid w:val="00EF1ACB"/>
    <w:rsid w:val="00EF397F"/>
    <w:rsid w:val="00EF6DEB"/>
    <w:rsid w:val="00F05ADE"/>
    <w:rsid w:val="00F06390"/>
    <w:rsid w:val="00F12EBD"/>
    <w:rsid w:val="00F24072"/>
    <w:rsid w:val="00F267DF"/>
    <w:rsid w:val="00F2703B"/>
    <w:rsid w:val="00F34478"/>
    <w:rsid w:val="00F40534"/>
    <w:rsid w:val="00F52EFD"/>
    <w:rsid w:val="00F535A2"/>
    <w:rsid w:val="00F54B70"/>
    <w:rsid w:val="00F60BB1"/>
    <w:rsid w:val="00F629C8"/>
    <w:rsid w:val="00F630F5"/>
    <w:rsid w:val="00F66083"/>
    <w:rsid w:val="00F75F6E"/>
    <w:rsid w:val="00F8064E"/>
    <w:rsid w:val="00F80C80"/>
    <w:rsid w:val="00F81E84"/>
    <w:rsid w:val="00F82496"/>
    <w:rsid w:val="00F857C3"/>
    <w:rsid w:val="00FA05F4"/>
    <w:rsid w:val="00FA4E5A"/>
    <w:rsid w:val="00FC0C13"/>
    <w:rsid w:val="00FC11EA"/>
    <w:rsid w:val="00FD292B"/>
    <w:rsid w:val="00FD2DC1"/>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Evans, Vanessa</cp:lastModifiedBy>
  <cp:revision>2</cp:revision>
  <cp:lastPrinted>2005-02-28T19:50:00Z</cp:lastPrinted>
  <dcterms:created xsi:type="dcterms:W3CDTF">2017-12-04T13:22:00Z</dcterms:created>
  <dcterms:modified xsi:type="dcterms:W3CDTF">2017-12-04T13:22:00Z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