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471BC" w14:textId="2885D148" w:rsidR="000745FC" w:rsidRDefault="00C8733A" w:rsidP="00BE6193">
      <w:pPr>
        <w:spacing w:after="0"/>
      </w:pPr>
      <w:r w:rsidRPr="00C8733A">
        <w:rPr>
          <w:rFonts w:ascii="Calibri" w:eastAsia="Times New Roman" w:hAnsi="Calibri" w:cs="Calibri"/>
          <w:color w:val="000000"/>
        </w:rPr>
        <w:t>Windows Internals 7ed part1</w:t>
      </w:r>
    </w:p>
    <w:p w14:paraId="64EF30F0" w14:textId="4D4B96BA" w:rsidR="00C8733A" w:rsidRDefault="00C8733A" w:rsidP="00BE6193">
      <w:pPr>
        <w:spacing w:after="0"/>
      </w:pPr>
      <w:r w:rsidRPr="00C8733A">
        <w:t>9780735684188</w:t>
      </w:r>
    </w:p>
    <w:p w14:paraId="67E24F16" w14:textId="7000DFF2" w:rsidR="00B35BEF" w:rsidRDefault="00B35BEF" w:rsidP="00BE6193">
      <w:pPr>
        <w:spacing w:after="0"/>
      </w:pPr>
    </w:p>
    <w:p w14:paraId="663C7F77" w14:textId="39F2DFDB" w:rsidR="00C8733A" w:rsidRDefault="00C8733A" w:rsidP="00BE6193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3511"/>
      </w:tblGrid>
      <w:tr w:rsidR="00D1340E" w:rsidRPr="00F47C0D" w14:paraId="69F9C75B" w14:textId="249F9348" w:rsidTr="00D1340E">
        <w:trPr>
          <w:trHeight w:val="629"/>
        </w:trPr>
        <w:tc>
          <w:tcPr>
            <w:tcW w:w="704" w:type="dxa"/>
          </w:tcPr>
          <w:p w14:paraId="13B76726" w14:textId="7D814163" w:rsidR="00D1340E" w:rsidRDefault="00D1340E" w:rsidP="00BE6193">
            <w:pPr>
              <w:spacing w:after="0"/>
            </w:pPr>
            <w:r>
              <w:t>PAGE #</w:t>
            </w:r>
          </w:p>
        </w:tc>
        <w:tc>
          <w:tcPr>
            <w:tcW w:w="13511" w:type="dxa"/>
            <w:shd w:val="clear" w:color="auto" w:fill="auto"/>
            <w:noWrap/>
          </w:tcPr>
          <w:p w14:paraId="7DFCE568" w14:textId="090BE8A2" w:rsidR="00D1340E" w:rsidRDefault="00D1340E" w:rsidP="00BE6193">
            <w:pPr>
              <w:spacing w:after="0"/>
            </w:pPr>
            <w:r>
              <w:t>Errata</w:t>
            </w:r>
          </w:p>
        </w:tc>
      </w:tr>
      <w:tr w:rsidR="00D1340E" w:rsidRPr="00F47C0D" w14:paraId="1142BACD" w14:textId="2E321F55" w:rsidTr="00D1340E">
        <w:trPr>
          <w:trHeight w:val="1565"/>
        </w:trPr>
        <w:tc>
          <w:tcPr>
            <w:tcW w:w="704" w:type="dxa"/>
          </w:tcPr>
          <w:p w14:paraId="49839D05" w14:textId="77777777" w:rsidR="00D1340E" w:rsidRDefault="00D1340E" w:rsidP="00BE6193">
            <w:pPr>
              <w:spacing w:after="0"/>
            </w:pPr>
            <w:r>
              <w:t>1</w:t>
            </w:r>
          </w:p>
        </w:tc>
        <w:tc>
          <w:tcPr>
            <w:tcW w:w="13511" w:type="dxa"/>
            <w:shd w:val="clear" w:color="auto" w:fill="auto"/>
            <w:noWrap/>
          </w:tcPr>
          <w:p w14:paraId="42EB811B" w14:textId="7B463619" w:rsidR="00D1340E" w:rsidRDefault="00D1340E" w:rsidP="00BE6193">
            <w:pPr>
              <w:spacing w:after="0"/>
            </w:pPr>
            <w:r>
              <w:t>Location on page: Under "Windows operating system versions" title</w:t>
            </w:r>
          </w:p>
          <w:p w14:paraId="6ECA4F32" w14:textId="77777777" w:rsidR="00D1340E" w:rsidRDefault="00D1340E" w:rsidP="00BE6193">
            <w:pPr>
              <w:spacing w:after="0"/>
            </w:pPr>
            <w:r>
              <w:t>Reads:</w:t>
            </w:r>
          </w:p>
          <w:p w14:paraId="75FFBD30" w14:textId="3715EF44" w:rsidR="00D1340E" w:rsidRDefault="00D1340E" w:rsidP="00BE6193">
            <w:pPr>
              <w:spacing w:after="0"/>
            </w:pPr>
            <w:r>
              <w:t xml:space="preserve">This book covers the most recent version of the Microsoft Windows client and server operating systems: Windows 10 (32-bit on x86 and ARM, and 64-bit version on x64) and </w:t>
            </w:r>
            <w:r w:rsidRPr="002910FC">
              <w:rPr>
                <w:highlight w:val="yellow"/>
              </w:rPr>
              <w:t>Windows Server 2012 R2</w:t>
            </w:r>
            <w:r>
              <w:t xml:space="preserve"> (which exists as 64-bit version only).</w:t>
            </w:r>
          </w:p>
          <w:p w14:paraId="66B9C70C" w14:textId="64DA9530" w:rsidR="00D1340E" w:rsidRDefault="00D1340E" w:rsidP="00BE6193">
            <w:pPr>
              <w:spacing w:after="0"/>
            </w:pPr>
            <w:r>
              <w:t>Should read:</w:t>
            </w:r>
          </w:p>
          <w:p w14:paraId="285BF20A" w14:textId="187070CA" w:rsidR="00D1340E" w:rsidRDefault="00D1340E" w:rsidP="00BE6193">
            <w:pPr>
              <w:spacing w:after="0"/>
            </w:pPr>
            <w:r>
              <w:t xml:space="preserve">This book covers the most recent version of the Microsoft Windows client and server operating systems: Windows 10 (32-bit on x86 and ARM, and 64-bit version on x64) and </w:t>
            </w:r>
            <w:r w:rsidRPr="002910FC">
              <w:rPr>
                <w:highlight w:val="yellow"/>
              </w:rPr>
              <w:t xml:space="preserve">Windows Server </w:t>
            </w:r>
            <w:r>
              <w:rPr>
                <w:highlight w:val="yellow"/>
              </w:rPr>
              <w:t>2016</w:t>
            </w:r>
            <w:r>
              <w:t xml:space="preserve"> (which exists as 64-bit version only).</w:t>
            </w:r>
          </w:p>
          <w:p w14:paraId="1CB97178" w14:textId="77777777" w:rsidR="00D1340E" w:rsidRDefault="00D1340E" w:rsidP="00BE6193">
            <w:pPr>
              <w:spacing w:after="0"/>
            </w:pPr>
          </w:p>
        </w:tc>
      </w:tr>
      <w:tr w:rsidR="00D1340E" w:rsidRPr="00F47C0D" w14:paraId="38133073" w14:textId="77777777" w:rsidTr="00D1340E">
        <w:trPr>
          <w:trHeight w:val="1565"/>
        </w:trPr>
        <w:tc>
          <w:tcPr>
            <w:tcW w:w="704" w:type="dxa"/>
          </w:tcPr>
          <w:p w14:paraId="7D561566" w14:textId="53366E17" w:rsidR="00D1340E" w:rsidRDefault="00D1340E" w:rsidP="00BE6193">
            <w:pPr>
              <w:spacing w:after="0" w:line="240" w:lineRule="auto"/>
            </w:pPr>
            <w:r>
              <w:t>2</w:t>
            </w:r>
          </w:p>
        </w:tc>
        <w:tc>
          <w:tcPr>
            <w:tcW w:w="13511" w:type="dxa"/>
            <w:shd w:val="clear" w:color="auto" w:fill="auto"/>
            <w:noWrap/>
          </w:tcPr>
          <w:p w14:paraId="664FFA51" w14:textId="693D3A05" w:rsidR="00D1340E" w:rsidRDefault="00D1340E" w:rsidP="002F4A8C">
            <w:pPr>
              <w:spacing w:after="0" w:line="240" w:lineRule="auto"/>
            </w:pPr>
            <w:r>
              <w:t>From Pavel, author</w:t>
            </w:r>
          </w:p>
          <w:p w14:paraId="14A7F53B" w14:textId="56826603" w:rsidR="00D1340E" w:rsidRDefault="00D1340E" w:rsidP="002F4A8C">
            <w:pPr>
              <w:spacing w:after="0" w:line="240" w:lineRule="auto"/>
            </w:pPr>
            <w:r>
              <w:t>Location: Note – last sentence</w:t>
            </w:r>
          </w:p>
          <w:p w14:paraId="6E225153" w14:textId="77777777" w:rsidR="00D1340E" w:rsidRDefault="00D1340E" w:rsidP="002F4A8C">
            <w:pPr>
              <w:spacing w:after="0" w:line="240" w:lineRule="auto"/>
            </w:pPr>
          </w:p>
          <w:p w14:paraId="6629EF65" w14:textId="77777777" w:rsidR="00D1340E" w:rsidRDefault="00D1340E" w:rsidP="002F4A8C">
            <w:pPr>
              <w:spacing w:after="0" w:line="240" w:lineRule="auto"/>
            </w:pPr>
            <w:r>
              <w:t>Reads:</w:t>
            </w:r>
          </w:p>
          <w:p w14:paraId="0CDDA216" w14:textId="63905D40" w:rsidR="00D1340E" w:rsidRDefault="00D1340E" w:rsidP="002F4A8C">
            <w:pPr>
              <w:spacing w:after="0" w:line="240" w:lineRule="auto"/>
            </w:pPr>
            <w:r w:rsidRPr="002F4A8C">
              <w:t>(See Chapter 8, “System mechanisms,” in Windows Internals Part 2 for details.)</w:t>
            </w:r>
          </w:p>
          <w:p w14:paraId="34564A20" w14:textId="6D667A59" w:rsidR="00D1340E" w:rsidRDefault="00D1340E" w:rsidP="002F4A8C">
            <w:pPr>
              <w:spacing w:after="0" w:line="240" w:lineRule="auto"/>
            </w:pPr>
          </w:p>
          <w:p w14:paraId="0F70A88A" w14:textId="569B7C4E" w:rsidR="00D1340E" w:rsidRDefault="00D1340E" w:rsidP="002F4A8C">
            <w:pPr>
              <w:spacing w:after="0" w:line="240" w:lineRule="auto"/>
            </w:pPr>
            <w:r>
              <w:t>Should read:</w:t>
            </w:r>
          </w:p>
          <w:p w14:paraId="25FC9ABF" w14:textId="50D50C23" w:rsidR="00D1340E" w:rsidRDefault="00D1340E" w:rsidP="002F4A8C">
            <w:pPr>
              <w:spacing w:after="0" w:line="240" w:lineRule="auto"/>
            </w:pPr>
            <w:r>
              <w:t>(See the section “Image Loader</w:t>
            </w:r>
            <w:r>
              <w:t>,</w:t>
            </w:r>
            <w:r>
              <w:t>” in Chapter 3 for details</w:t>
            </w:r>
            <w:r>
              <w:t>.</w:t>
            </w:r>
            <w:r>
              <w:t>)</w:t>
            </w:r>
          </w:p>
          <w:p w14:paraId="6A7FF80B" w14:textId="2E8DB175" w:rsidR="00D1340E" w:rsidRDefault="00D1340E" w:rsidP="002F4A8C">
            <w:pPr>
              <w:spacing w:after="0" w:line="240" w:lineRule="auto"/>
            </w:pPr>
          </w:p>
        </w:tc>
      </w:tr>
      <w:tr w:rsidR="00D1340E" w:rsidRPr="00F47C0D" w14:paraId="0A43EABC" w14:textId="27233773" w:rsidTr="00D1340E">
        <w:trPr>
          <w:trHeight w:val="1565"/>
        </w:trPr>
        <w:tc>
          <w:tcPr>
            <w:tcW w:w="704" w:type="dxa"/>
          </w:tcPr>
          <w:p w14:paraId="27916009" w14:textId="4F863431" w:rsidR="00D1340E" w:rsidRDefault="00D1340E" w:rsidP="00BE6193">
            <w:pPr>
              <w:spacing w:after="0" w:line="240" w:lineRule="auto"/>
            </w:pPr>
            <w:r>
              <w:t>11</w:t>
            </w:r>
          </w:p>
        </w:tc>
        <w:tc>
          <w:tcPr>
            <w:tcW w:w="13511" w:type="dxa"/>
            <w:shd w:val="clear" w:color="auto" w:fill="auto"/>
            <w:noWrap/>
            <w:hideMark/>
          </w:tcPr>
          <w:p w14:paraId="716C54D6" w14:textId="14B2F884" w:rsidR="00D1340E" w:rsidRDefault="00D1340E" w:rsidP="00BE6193">
            <w:pPr>
              <w:spacing w:after="0" w:line="240" w:lineRule="auto"/>
            </w:pPr>
            <w:r>
              <w:t>Location on page: Last paragraph on page 10</w:t>
            </w:r>
            <w:r>
              <w:br/>
            </w:r>
          </w:p>
          <w:p w14:paraId="5B3FE3AA" w14:textId="0F78B011" w:rsidR="00D1340E" w:rsidRDefault="00D1340E" w:rsidP="00BE6193">
            <w:pPr>
              <w:spacing w:after="0" w:line="240" w:lineRule="auto"/>
            </w:pPr>
            <w:r>
              <w:t>Currently Reads:</w:t>
            </w:r>
          </w:p>
          <w:p w14:paraId="07CDE42C" w14:textId="276F60D0" w:rsidR="00D1340E" w:rsidRDefault="00D1340E" w:rsidP="00285317">
            <w:pPr>
              <w:spacing w:after="0" w:line="240" w:lineRule="auto"/>
            </w:pPr>
            <w:r>
              <w:t xml:space="preserve">Each process also points to its </w:t>
            </w:r>
            <w:r w:rsidRPr="00285317">
              <w:rPr>
                <w:highlight w:val="yellow"/>
              </w:rPr>
              <w:t>parent or creator process</w:t>
            </w:r>
            <w:r>
              <w:t xml:space="preserve"> (which may be, but is not always, its creator</w:t>
            </w:r>
            <w:r>
              <w:t xml:space="preserve"> </w:t>
            </w:r>
            <w:r>
              <w:t xml:space="preserve">process). </w:t>
            </w:r>
          </w:p>
          <w:p w14:paraId="0F1DEE19" w14:textId="4A21926B" w:rsidR="00D1340E" w:rsidRPr="00FA10B5" w:rsidRDefault="00D1340E" w:rsidP="00285317">
            <w:pPr>
              <w:spacing w:after="0" w:line="240" w:lineRule="auto"/>
            </w:pPr>
            <w:r>
              <w:br/>
              <w:t>Should read:</w:t>
            </w:r>
            <w:r>
              <w:br/>
              <w:t xml:space="preserve">Each process also points to </w:t>
            </w:r>
            <w:r w:rsidRPr="00285317">
              <w:rPr>
                <w:highlight w:val="yellow"/>
              </w:rPr>
              <w:t>its parent</w:t>
            </w:r>
            <w:r>
              <w:t xml:space="preserve"> (which may be, but is not always, its creator process).</w:t>
            </w:r>
          </w:p>
        </w:tc>
      </w:tr>
      <w:tr w:rsidR="00D1340E" w:rsidRPr="00F47C0D" w14:paraId="4AE377AD" w14:textId="2B3E3F71" w:rsidTr="00D1340E">
        <w:trPr>
          <w:trHeight w:val="1565"/>
        </w:trPr>
        <w:tc>
          <w:tcPr>
            <w:tcW w:w="704" w:type="dxa"/>
          </w:tcPr>
          <w:p w14:paraId="4A7386BF" w14:textId="77777777" w:rsidR="00D1340E" w:rsidRDefault="00D1340E" w:rsidP="00BE6193">
            <w:pPr>
              <w:spacing w:after="0"/>
            </w:pPr>
            <w:r>
              <w:t>18</w:t>
            </w:r>
          </w:p>
        </w:tc>
        <w:tc>
          <w:tcPr>
            <w:tcW w:w="13511" w:type="dxa"/>
            <w:shd w:val="clear" w:color="auto" w:fill="auto"/>
            <w:noWrap/>
          </w:tcPr>
          <w:p w14:paraId="2EE90958" w14:textId="3D073070" w:rsidR="00D1340E" w:rsidRDefault="00D1340E" w:rsidP="00BE6193">
            <w:pPr>
              <w:spacing w:after="0"/>
            </w:pPr>
            <w:r>
              <w:t>Location on page: Second to last paragraph on page 18 and first note on page 19</w:t>
            </w:r>
          </w:p>
          <w:p w14:paraId="47CE7C10" w14:textId="77777777" w:rsidR="00D1340E" w:rsidRDefault="00D1340E" w:rsidP="00285317">
            <w:pPr>
              <w:spacing w:after="0"/>
            </w:pPr>
          </w:p>
          <w:p w14:paraId="43E63E8A" w14:textId="77777777" w:rsidR="00D1340E" w:rsidRDefault="00D1340E" w:rsidP="00285317">
            <w:pPr>
              <w:spacing w:after="0"/>
            </w:pPr>
            <w:r>
              <w:t>Reads:</w:t>
            </w:r>
          </w:p>
          <w:p w14:paraId="7CA04C3B" w14:textId="621B144A" w:rsidR="00D1340E" w:rsidRDefault="00D1340E" w:rsidP="00285317">
            <w:pPr>
              <w:spacing w:after="0"/>
            </w:pPr>
            <w:r>
              <w:t>The volatile registers, stacks, and private storage area are called the thread’s context. Because this</w:t>
            </w:r>
          </w:p>
          <w:p w14:paraId="2C997F07" w14:textId="77777777" w:rsidR="00D1340E" w:rsidRDefault="00D1340E" w:rsidP="00285317">
            <w:pPr>
              <w:spacing w:after="0"/>
            </w:pPr>
            <w:r>
              <w:t>information is different for each machine architecture that Windows runs on, this structure, by necessity,</w:t>
            </w:r>
          </w:p>
          <w:p w14:paraId="17AAF24F" w14:textId="77777777" w:rsidR="00D1340E" w:rsidRDefault="00D1340E" w:rsidP="00285317">
            <w:pPr>
              <w:spacing w:after="0"/>
            </w:pPr>
            <w:r>
              <w:t xml:space="preserve">is architecture-specific. The Windows </w:t>
            </w:r>
            <w:proofErr w:type="spellStart"/>
            <w:r>
              <w:t>GetThreadContext</w:t>
            </w:r>
            <w:proofErr w:type="spellEnd"/>
            <w:r>
              <w:t xml:space="preserve"> function provides access to this </w:t>
            </w:r>
            <w:proofErr w:type="spellStart"/>
            <w:r>
              <w:t>architecturespecific</w:t>
            </w:r>
            <w:proofErr w:type="spellEnd"/>
          </w:p>
          <w:p w14:paraId="57DA112D" w14:textId="141E6E1C" w:rsidR="00D1340E" w:rsidRDefault="00D1340E" w:rsidP="00285317">
            <w:pPr>
              <w:spacing w:after="0"/>
            </w:pPr>
            <w:r>
              <w:lastRenderedPageBreak/>
              <w:t>information (called the CONTEXT block).</w:t>
            </w:r>
          </w:p>
          <w:p w14:paraId="7FB4B5C1" w14:textId="52ADB389" w:rsidR="00D1340E" w:rsidRDefault="00D1340E" w:rsidP="00BE6193">
            <w:pPr>
              <w:spacing w:after="0"/>
            </w:pPr>
          </w:p>
          <w:p w14:paraId="6CCD6383" w14:textId="32B07675" w:rsidR="00D1340E" w:rsidRDefault="00D1340E" w:rsidP="00BE6193">
            <w:pPr>
              <w:spacing w:after="0"/>
            </w:pPr>
            <w:r>
              <w:t>Should read: (Replace entire paragraph with the following)</w:t>
            </w:r>
          </w:p>
          <w:p w14:paraId="1457EAB6" w14:textId="58B89A60" w:rsidR="00D1340E" w:rsidRDefault="00D1340E" w:rsidP="00BE6193">
            <w:pPr>
              <w:spacing w:after="0"/>
            </w:pPr>
            <w:r w:rsidRPr="00285317">
              <w:t xml:space="preserve">The volatile and non-volatile registers as well as a private storage area are called the thread’s context. Because this information is different for each machine architecture that Windows runs on, this structure, by necessity, is architecture-specific. The Windows </w:t>
            </w:r>
            <w:proofErr w:type="spellStart"/>
            <w:r w:rsidRPr="00285317">
              <w:t>GetThreadContext</w:t>
            </w:r>
            <w:proofErr w:type="spellEnd"/>
            <w:r w:rsidRPr="00285317">
              <w:t xml:space="preserve"> function provides access to this architecture specific information (called the CONTEXT block). Additionally, each thread has its own stack as well (pointed to by a stack register part of the thread’s context)."</w:t>
            </w:r>
          </w:p>
          <w:p w14:paraId="3EB68E00" w14:textId="77777777" w:rsidR="00D1340E" w:rsidRDefault="00D1340E" w:rsidP="00BE6193">
            <w:pPr>
              <w:spacing w:after="0"/>
            </w:pPr>
          </w:p>
          <w:p w14:paraId="7C726040" w14:textId="77777777" w:rsidR="00D1340E" w:rsidRDefault="00D1340E" w:rsidP="00BE6193">
            <w:pPr>
              <w:spacing w:after="0" w:line="240" w:lineRule="auto"/>
            </w:pPr>
          </w:p>
        </w:tc>
      </w:tr>
      <w:tr w:rsidR="00D1340E" w:rsidRPr="00F47C0D" w14:paraId="70CF1C0F" w14:textId="4544D2DA" w:rsidTr="00D1340E">
        <w:trPr>
          <w:trHeight w:val="1565"/>
        </w:trPr>
        <w:tc>
          <w:tcPr>
            <w:tcW w:w="704" w:type="dxa"/>
          </w:tcPr>
          <w:p w14:paraId="13730E94" w14:textId="77777777" w:rsidR="00D1340E" w:rsidRDefault="00D1340E" w:rsidP="00BE6193">
            <w:pPr>
              <w:spacing w:after="0"/>
            </w:pPr>
            <w:r>
              <w:lastRenderedPageBreak/>
              <w:t>19</w:t>
            </w:r>
          </w:p>
        </w:tc>
        <w:tc>
          <w:tcPr>
            <w:tcW w:w="13511" w:type="dxa"/>
            <w:shd w:val="clear" w:color="auto" w:fill="auto"/>
            <w:noWrap/>
          </w:tcPr>
          <w:p w14:paraId="55D12CDF" w14:textId="52592BBC" w:rsidR="00D1340E" w:rsidRDefault="00D1340E" w:rsidP="00BE6193">
            <w:pPr>
              <w:spacing w:after="0"/>
            </w:pPr>
            <w:r>
              <w:t>Location on page: first Note</w:t>
            </w:r>
          </w:p>
          <w:p w14:paraId="41EFB8D8" w14:textId="77777777" w:rsidR="00D1340E" w:rsidRDefault="00D1340E" w:rsidP="00BE6193">
            <w:pPr>
              <w:spacing w:after="0"/>
            </w:pPr>
          </w:p>
          <w:p w14:paraId="695914F7" w14:textId="77777777" w:rsidR="00D1340E" w:rsidRDefault="00D1340E" w:rsidP="00BE6193">
            <w:pPr>
              <w:spacing w:after="0"/>
            </w:pPr>
            <w:r>
              <w:t xml:space="preserve">Reads: </w:t>
            </w:r>
          </w:p>
          <w:p w14:paraId="4EA7F753" w14:textId="21CF0413" w:rsidR="00D1340E" w:rsidRDefault="00D1340E" w:rsidP="00BE6193">
            <w:pPr>
              <w:spacing w:after="0"/>
            </w:pPr>
            <w:r>
              <w:t xml:space="preserve">"Wow64 (Windows on Windows)" </w:t>
            </w:r>
          </w:p>
          <w:p w14:paraId="1DDC0EC4" w14:textId="77777777" w:rsidR="00D1340E" w:rsidRDefault="00D1340E" w:rsidP="00BE6193">
            <w:pPr>
              <w:spacing w:after="0"/>
            </w:pPr>
          </w:p>
          <w:p w14:paraId="354D7232" w14:textId="77777777" w:rsidR="00D1340E" w:rsidRDefault="00D1340E" w:rsidP="00BE6193">
            <w:pPr>
              <w:spacing w:after="0"/>
            </w:pPr>
            <w:r>
              <w:t>Should Read:</w:t>
            </w:r>
          </w:p>
          <w:p w14:paraId="1B24E0C1" w14:textId="0C119CCB" w:rsidR="00D1340E" w:rsidRDefault="00D1340E" w:rsidP="00BE6193">
            <w:pPr>
              <w:spacing w:after="0"/>
            </w:pPr>
            <w:r>
              <w:t>"Wow64 (Windows on Windows 64-bit)".</w:t>
            </w:r>
          </w:p>
        </w:tc>
      </w:tr>
      <w:tr w:rsidR="00D1340E" w:rsidRPr="00F47C0D" w14:paraId="42EC4383" w14:textId="42BAAB20" w:rsidTr="00D1340E">
        <w:trPr>
          <w:trHeight w:val="1565"/>
        </w:trPr>
        <w:tc>
          <w:tcPr>
            <w:tcW w:w="704" w:type="dxa"/>
          </w:tcPr>
          <w:p w14:paraId="7D16F2F8" w14:textId="77777777" w:rsidR="00D1340E" w:rsidRDefault="00D1340E" w:rsidP="00BE6193">
            <w:pPr>
              <w:spacing w:after="0"/>
            </w:pPr>
            <w:r>
              <w:t>26</w:t>
            </w:r>
          </w:p>
        </w:tc>
        <w:tc>
          <w:tcPr>
            <w:tcW w:w="13511" w:type="dxa"/>
            <w:shd w:val="clear" w:color="auto" w:fill="auto"/>
            <w:noWrap/>
          </w:tcPr>
          <w:p w14:paraId="08C722F1" w14:textId="40E18F0D" w:rsidR="00D1340E" w:rsidRDefault="00D1340E" w:rsidP="00BE6193">
            <w:pPr>
              <w:spacing w:after="0"/>
            </w:pPr>
            <w:r>
              <w:t>Location on page: top, step 3</w:t>
            </w:r>
          </w:p>
          <w:p w14:paraId="594007D0" w14:textId="274522C4" w:rsidR="00D1340E" w:rsidRDefault="00D1340E" w:rsidP="00BE6193">
            <w:pPr>
              <w:spacing w:after="0"/>
            </w:pPr>
            <w:r>
              <w:t>Reads:</w:t>
            </w:r>
          </w:p>
          <w:p w14:paraId="1625BBA0" w14:textId="5CC0ACAA" w:rsidR="00D1340E" w:rsidRDefault="00D1340E" w:rsidP="00BE6193">
            <w:pPr>
              <w:spacing w:after="0"/>
            </w:pPr>
            <w:r>
              <w:t xml:space="preserve">press the </w:t>
            </w:r>
            <w:proofErr w:type="spellStart"/>
            <w:r w:rsidRPr="002C0C9B">
              <w:rPr>
                <w:b/>
              </w:rPr>
              <w:t>Suppr</w:t>
            </w:r>
            <w:proofErr w:type="spellEnd"/>
            <w:r>
              <w:t xml:space="preserve"> key on the keyboard.</w:t>
            </w:r>
          </w:p>
          <w:p w14:paraId="7EE9C711" w14:textId="77777777" w:rsidR="00D1340E" w:rsidRDefault="00D1340E" w:rsidP="00BE6193">
            <w:pPr>
              <w:spacing w:after="0"/>
            </w:pPr>
            <w:r>
              <w:t xml:space="preserve">Should Read: </w:t>
            </w:r>
          </w:p>
          <w:p w14:paraId="5A944001" w14:textId="66ACEDCA" w:rsidR="00D1340E" w:rsidRDefault="00D1340E" w:rsidP="00BE6193">
            <w:pPr>
              <w:spacing w:after="0"/>
            </w:pPr>
            <w:r>
              <w:t xml:space="preserve">press the </w:t>
            </w:r>
            <w:r w:rsidRPr="002C0C9B">
              <w:rPr>
                <w:b/>
              </w:rPr>
              <w:t>Delete</w:t>
            </w:r>
            <w:r>
              <w:t xml:space="preserve"> key on the keyboard.</w:t>
            </w:r>
          </w:p>
          <w:p w14:paraId="322B51C2" w14:textId="77777777" w:rsidR="00D1340E" w:rsidRDefault="00D1340E" w:rsidP="00BE6193">
            <w:pPr>
              <w:spacing w:after="0"/>
            </w:pPr>
          </w:p>
        </w:tc>
      </w:tr>
      <w:tr w:rsidR="00D1340E" w:rsidRPr="00F47C0D" w14:paraId="2BC48311" w14:textId="5A788805" w:rsidTr="00D1340E">
        <w:trPr>
          <w:trHeight w:val="1565"/>
        </w:trPr>
        <w:tc>
          <w:tcPr>
            <w:tcW w:w="704" w:type="dxa"/>
          </w:tcPr>
          <w:p w14:paraId="7CE6CFBA" w14:textId="77777777" w:rsidR="00D1340E" w:rsidRDefault="00D1340E" w:rsidP="00BE6193">
            <w:pPr>
              <w:spacing w:after="0"/>
            </w:pPr>
            <w:r>
              <w:t>31</w:t>
            </w:r>
          </w:p>
        </w:tc>
        <w:tc>
          <w:tcPr>
            <w:tcW w:w="13511" w:type="dxa"/>
            <w:shd w:val="clear" w:color="auto" w:fill="auto"/>
            <w:noWrap/>
          </w:tcPr>
          <w:p w14:paraId="7F6071F1" w14:textId="37769157" w:rsidR="00D1340E" w:rsidRDefault="00D1340E" w:rsidP="00BE6193">
            <w:pPr>
              <w:spacing w:after="0"/>
            </w:pPr>
            <w:r>
              <w:t>Location on page: top ½ of page</w:t>
            </w:r>
          </w:p>
          <w:p w14:paraId="0E11A5F6" w14:textId="77777777" w:rsidR="00D1340E" w:rsidRDefault="00D1340E" w:rsidP="00BE6193">
            <w:pPr>
              <w:spacing w:after="0"/>
            </w:pPr>
          </w:p>
          <w:p w14:paraId="229970DF" w14:textId="1B1B500D" w:rsidR="00D1340E" w:rsidRDefault="00D1340E" w:rsidP="00BE6193">
            <w:pPr>
              <w:spacing w:after="0"/>
            </w:pPr>
            <w:r>
              <w:t>Reads:</w:t>
            </w:r>
          </w:p>
          <w:p w14:paraId="738BDF32" w14:textId="77777777" w:rsidR="00D1340E" w:rsidRDefault="00D1340E" w:rsidP="00BE6193">
            <w:pPr>
              <w:spacing w:after="0"/>
            </w:pPr>
            <w:r>
              <w:t>"Objects and handles (</w:t>
            </w:r>
            <w:r w:rsidRPr="00273D39">
              <w:rPr>
                <w:highlight w:val="yellow"/>
              </w:rPr>
              <w:t>references to instances of an object</w:t>
            </w:r>
            <w:r>
              <w:t>) are discussed in more detail in Chapter 8 in Part 2."</w:t>
            </w:r>
          </w:p>
          <w:p w14:paraId="57FE663E" w14:textId="77777777" w:rsidR="00D1340E" w:rsidRDefault="00D1340E" w:rsidP="00BE6193">
            <w:pPr>
              <w:spacing w:after="0"/>
            </w:pPr>
          </w:p>
          <w:p w14:paraId="55A533B6" w14:textId="3962B1DE" w:rsidR="00D1340E" w:rsidRDefault="00D1340E" w:rsidP="00BE6193">
            <w:pPr>
              <w:spacing w:after="0"/>
            </w:pPr>
            <w:r>
              <w:t>Should read:</w:t>
            </w:r>
          </w:p>
          <w:p w14:paraId="3DBDA921" w14:textId="77777777" w:rsidR="00D1340E" w:rsidRDefault="00D1340E" w:rsidP="00BE6193">
            <w:pPr>
              <w:spacing w:after="0"/>
            </w:pPr>
            <w:r>
              <w:t>"Objects and handles (</w:t>
            </w:r>
            <w:r w:rsidRPr="00273D39">
              <w:rPr>
                <w:highlight w:val="yellow"/>
              </w:rPr>
              <w:t>references to objects</w:t>
            </w:r>
            <w:r>
              <w:t>) are discussed in more detail in Chapter 8 in Part 2."</w:t>
            </w:r>
          </w:p>
          <w:p w14:paraId="300E32ED" w14:textId="77777777" w:rsidR="00D1340E" w:rsidRDefault="00D1340E" w:rsidP="00BE6193">
            <w:pPr>
              <w:spacing w:after="0" w:line="240" w:lineRule="auto"/>
            </w:pPr>
          </w:p>
        </w:tc>
      </w:tr>
      <w:tr w:rsidR="00D1340E" w:rsidRPr="00F47C0D" w14:paraId="4A312104" w14:textId="60946396" w:rsidTr="00D1340E">
        <w:trPr>
          <w:trHeight w:val="1565"/>
        </w:trPr>
        <w:tc>
          <w:tcPr>
            <w:tcW w:w="704" w:type="dxa"/>
          </w:tcPr>
          <w:p w14:paraId="1CB42EA0" w14:textId="77777777" w:rsidR="00D1340E" w:rsidRDefault="00D1340E" w:rsidP="00BE6193">
            <w:pPr>
              <w:spacing w:after="0"/>
            </w:pPr>
            <w:r>
              <w:lastRenderedPageBreak/>
              <w:t>54</w:t>
            </w:r>
          </w:p>
        </w:tc>
        <w:tc>
          <w:tcPr>
            <w:tcW w:w="13511" w:type="dxa"/>
            <w:shd w:val="clear" w:color="auto" w:fill="auto"/>
            <w:noWrap/>
          </w:tcPr>
          <w:p w14:paraId="50E5E5A7" w14:textId="30F4A75C" w:rsidR="00D1340E" w:rsidRDefault="00D1340E" w:rsidP="00BE6193">
            <w:pPr>
              <w:spacing w:after="0"/>
            </w:pPr>
            <w:r>
              <w:t>Location on page: top</w:t>
            </w:r>
            <w:r>
              <w:br/>
              <w:t xml:space="preserve">Reads: </w:t>
            </w:r>
          </w:p>
          <w:p w14:paraId="57D04EF7" w14:textId="77777777" w:rsidR="00D1340E" w:rsidRDefault="00D1340E" w:rsidP="00664F30">
            <w:pPr>
              <w:spacing w:after="0"/>
            </w:pPr>
            <w:r>
              <w:t>There are six different versions of Windows Server 2016: Windows Server 2016 Datacenter, Windows</w:t>
            </w:r>
          </w:p>
          <w:p w14:paraId="6D723092" w14:textId="77777777" w:rsidR="00D1340E" w:rsidRDefault="00D1340E" w:rsidP="00664F30">
            <w:pPr>
              <w:spacing w:after="0"/>
            </w:pPr>
            <w:r>
              <w:t xml:space="preserve">Server 2016 Standard, Windows Server 2016 Essentials, Windows Server </w:t>
            </w:r>
            <w:r w:rsidRPr="009E452E">
              <w:rPr>
                <w:highlight w:val="yellow"/>
              </w:rPr>
              <w:t>2006</w:t>
            </w:r>
            <w:r>
              <w:t xml:space="preserve"> MultiPoint Premium</w:t>
            </w:r>
          </w:p>
          <w:p w14:paraId="66F6D32C" w14:textId="2D7F4908" w:rsidR="00D1340E" w:rsidRDefault="00D1340E" w:rsidP="00664F30">
            <w:pPr>
              <w:spacing w:after="0"/>
            </w:pPr>
            <w:r>
              <w:t>Server, Windows Storage Server 2016, and Microsoft Hyper-V Server 2016.</w:t>
            </w:r>
          </w:p>
          <w:p w14:paraId="07218516" w14:textId="2BFB53EB" w:rsidR="00D1340E" w:rsidRDefault="00D1340E" w:rsidP="00664F30">
            <w:pPr>
              <w:spacing w:after="0"/>
            </w:pPr>
          </w:p>
          <w:p w14:paraId="63CF1751" w14:textId="4AB4D829" w:rsidR="00D1340E" w:rsidRDefault="00D1340E" w:rsidP="00664F30">
            <w:pPr>
              <w:spacing w:after="0"/>
            </w:pPr>
            <w:r>
              <w:t>Should read:</w:t>
            </w:r>
          </w:p>
          <w:p w14:paraId="2043BDEC" w14:textId="77777777" w:rsidR="00D1340E" w:rsidRDefault="00D1340E" w:rsidP="009E452E">
            <w:pPr>
              <w:spacing w:after="0"/>
            </w:pPr>
            <w:r>
              <w:t>There are six different versions of Windows Server 2016: Windows Server 2016 Datacenter, Windows</w:t>
            </w:r>
          </w:p>
          <w:p w14:paraId="61D9BF87" w14:textId="7877CC5F" w:rsidR="00D1340E" w:rsidRDefault="00D1340E" w:rsidP="009E452E">
            <w:pPr>
              <w:spacing w:after="0"/>
            </w:pPr>
            <w:r>
              <w:t xml:space="preserve">Server 2016 Standard, Windows Server 2016 Essentials, Windows Server </w:t>
            </w:r>
            <w:r w:rsidRPr="009E452E">
              <w:rPr>
                <w:highlight w:val="yellow"/>
              </w:rPr>
              <w:t>2016</w:t>
            </w:r>
            <w:r>
              <w:t xml:space="preserve"> MultiPoint Premium</w:t>
            </w:r>
          </w:p>
          <w:p w14:paraId="7995921B" w14:textId="77777777" w:rsidR="00D1340E" w:rsidRDefault="00D1340E" w:rsidP="009E452E">
            <w:pPr>
              <w:spacing w:after="0"/>
            </w:pPr>
            <w:r>
              <w:t>Server, Windows Storage Server 2016, and Microsoft Hyper-V Server 2016.</w:t>
            </w:r>
          </w:p>
          <w:p w14:paraId="476D610E" w14:textId="716499E8" w:rsidR="00D1340E" w:rsidRDefault="00D1340E" w:rsidP="00BE6193">
            <w:pPr>
              <w:spacing w:after="0"/>
            </w:pPr>
          </w:p>
        </w:tc>
      </w:tr>
      <w:tr w:rsidR="00D1340E" w:rsidRPr="00F47C0D" w14:paraId="01DD5FC3" w14:textId="76D70CD4" w:rsidTr="00D1340E">
        <w:trPr>
          <w:trHeight w:val="1565"/>
        </w:trPr>
        <w:tc>
          <w:tcPr>
            <w:tcW w:w="704" w:type="dxa"/>
          </w:tcPr>
          <w:p w14:paraId="59CC6281" w14:textId="77777777" w:rsidR="00D1340E" w:rsidRDefault="00D1340E" w:rsidP="00BE6193">
            <w:pPr>
              <w:spacing w:after="0"/>
            </w:pPr>
            <w:r>
              <w:t>73</w:t>
            </w:r>
          </w:p>
        </w:tc>
        <w:tc>
          <w:tcPr>
            <w:tcW w:w="13511" w:type="dxa"/>
            <w:shd w:val="clear" w:color="auto" w:fill="auto"/>
            <w:noWrap/>
          </w:tcPr>
          <w:p w14:paraId="3519C4D1" w14:textId="34C5523C" w:rsidR="00D1340E" w:rsidRDefault="00D1340E" w:rsidP="00BE6193">
            <w:pPr>
              <w:spacing w:after="0"/>
            </w:pPr>
            <w:r>
              <w:t>Location on page: top 4th bullet point</w:t>
            </w:r>
            <w:r>
              <w:br/>
              <w:t xml:space="preserve">Description of error: </w:t>
            </w:r>
          </w:p>
          <w:p w14:paraId="7C21ECE3" w14:textId="77777777" w:rsidR="00D1340E" w:rsidRDefault="00D1340E" w:rsidP="00BE6193">
            <w:pPr>
              <w:spacing w:after="0"/>
            </w:pPr>
            <w:r>
              <w:t xml:space="preserve">"These include internal support functions called within </w:t>
            </w:r>
            <w:r w:rsidRPr="00BE6193">
              <w:rPr>
                <w:highlight w:val="yellow"/>
              </w:rPr>
              <w:t>Ntoskrnl.dll"</w:t>
            </w:r>
            <w:r>
              <w:br/>
            </w:r>
            <w:r>
              <w:br/>
              <w:t xml:space="preserve">It should say: </w:t>
            </w:r>
          </w:p>
          <w:p w14:paraId="4298FAE1" w14:textId="38A063D0" w:rsidR="00D1340E" w:rsidRDefault="00D1340E" w:rsidP="00BE6193">
            <w:pPr>
              <w:spacing w:after="0"/>
            </w:pPr>
            <w:r>
              <w:t xml:space="preserve">"These include internal support functions called within </w:t>
            </w:r>
            <w:r w:rsidRPr="00BE6193">
              <w:rPr>
                <w:highlight w:val="yellow"/>
              </w:rPr>
              <w:t>Ntoskrnl.exe".</w:t>
            </w:r>
          </w:p>
        </w:tc>
      </w:tr>
      <w:tr w:rsidR="00D1340E" w:rsidRPr="00F47C0D" w14:paraId="3013EA27" w14:textId="25345FB6" w:rsidTr="00D1340E">
        <w:trPr>
          <w:trHeight w:val="1565"/>
        </w:trPr>
        <w:tc>
          <w:tcPr>
            <w:tcW w:w="704" w:type="dxa"/>
          </w:tcPr>
          <w:p w14:paraId="24AF5D09" w14:textId="77777777" w:rsidR="00D1340E" w:rsidRDefault="00D1340E" w:rsidP="00BE6193">
            <w:pPr>
              <w:spacing w:after="0"/>
            </w:pPr>
            <w:r>
              <w:t>81</w:t>
            </w:r>
          </w:p>
        </w:tc>
        <w:tc>
          <w:tcPr>
            <w:tcW w:w="13511" w:type="dxa"/>
            <w:shd w:val="clear" w:color="auto" w:fill="auto"/>
            <w:noWrap/>
          </w:tcPr>
          <w:p w14:paraId="407E2624" w14:textId="10F08B29" w:rsidR="00D1340E" w:rsidRDefault="00D1340E" w:rsidP="00BE6193">
            <w:pPr>
              <w:spacing w:after="0"/>
            </w:pPr>
            <w:r>
              <w:t xml:space="preserve">Location on page: </w:t>
            </w:r>
            <w:proofErr w:type="spellStart"/>
            <w:r>
              <w:t>Ksigningpolicy</w:t>
            </w:r>
            <w:proofErr w:type="spellEnd"/>
            <w:r>
              <w:t xml:space="preserve"> contract</w:t>
            </w:r>
            <w:r>
              <w:br/>
              <w:t xml:space="preserve">Description of error: </w:t>
            </w:r>
          </w:p>
          <w:p w14:paraId="460A1A70" w14:textId="0CC52575" w:rsidR="00D1340E" w:rsidRDefault="00D1340E" w:rsidP="00BE6193">
            <w:pPr>
              <w:spacing w:after="0"/>
            </w:pPr>
            <w:r>
              <w:t>"processes on certain SKUs or FUTHER configure Device Guard"</w:t>
            </w:r>
            <w:r>
              <w:br/>
            </w:r>
          </w:p>
          <w:p w14:paraId="023AA784" w14:textId="0397955D" w:rsidR="00D1340E" w:rsidRDefault="00D1340E" w:rsidP="00BE6193">
            <w:pPr>
              <w:spacing w:after="0"/>
            </w:pPr>
            <w:r>
              <w:t>Should read:</w:t>
            </w:r>
          </w:p>
          <w:p w14:paraId="7690E7A7" w14:textId="013F5A41" w:rsidR="00D1340E" w:rsidRDefault="00D1340E" w:rsidP="00BE6193">
            <w:pPr>
              <w:spacing w:after="0"/>
            </w:pPr>
            <w:r>
              <w:t>"processes on certain SKUs or FURTHER configure Device Guard"</w:t>
            </w:r>
            <w:r>
              <w:br/>
            </w:r>
          </w:p>
        </w:tc>
      </w:tr>
      <w:tr w:rsidR="00D1340E" w:rsidRPr="00F47C0D" w14:paraId="4F96D7C0" w14:textId="2D5011CF" w:rsidTr="00D1340E">
        <w:trPr>
          <w:trHeight w:val="1565"/>
        </w:trPr>
        <w:tc>
          <w:tcPr>
            <w:tcW w:w="704" w:type="dxa"/>
          </w:tcPr>
          <w:p w14:paraId="070AB702" w14:textId="77777777" w:rsidR="00D1340E" w:rsidRDefault="00D1340E" w:rsidP="00BE6193">
            <w:pPr>
              <w:spacing w:after="0"/>
            </w:pPr>
            <w:r>
              <w:t>115</w:t>
            </w:r>
          </w:p>
        </w:tc>
        <w:tc>
          <w:tcPr>
            <w:tcW w:w="13511" w:type="dxa"/>
            <w:shd w:val="clear" w:color="auto" w:fill="auto"/>
            <w:noWrap/>
          </w:tcPr>
          <w:p w14:paraId="3746865E" w14:textId="771762AE" w:rsidR="00D1340E" w:rsidRDefault="00D1340E" w:rsidP="00BE6193">
            <w:pPr>
              <w:spacing w:after="0"/>
            </w:pPr>
            <w:r>
              <w:t>Location on page: middle, the word Process is missing the C</w:t>
            </w:r>
          </w:p>
          <w:p w14:paraId="6938BCE1" w14:textId="23B37970" w:rsidR="00D1340E" w:rsidRDefault="00D1340E" w:rsidP="00BE6193">
            <w:pPr>
              <w:spacing w:after="0"/>
            </w:pPr>
            <w:r>
              <w:br/>
              <w:t xml:space="preserve">Reads: </w:t>
            </w:r>
          </w:p>
          <w:p w14:paraId="2C130419" w14:textId="77777777" w:rsidR="00D1340E" w:rsidRDefault="00D1340E" w:rsidP="00BE6193">
            <w:pPr>
              <w:spacing w:after="0"/>
            </w:pPr>
            <w:r>
              <w:t xml:space="preserve">PROESS_QUERY </w:t>
            </w:r>
          </w:p>
          <w:p w14:paraId="06873879" w14:textId="45E07ED2" w:rsidR="00D1340E" w:rsidRDefault="00D1340E" w:rsidP="00BE6193">
            <w:pPr>
              <w:spacing w:after="0"/>
            </w:pPr>
            <w:r>
              <w:t>Should Read:</w:t>
            </w:r>
          </w:p>
          <w:p w14:paraId="569FE812" w14:textId="4486179A" w:rsidR="00D1340E" w:rsidRDefault="00D1340E" w:rsidP="00BE6193">
            <w:pPr>
              <w:spacing w:after="0"/>
            </w:pPr>
            <w:r>
              <w:t>PROCESS_QUERY</w:t>
            </w:r>
          </w:p>
        </w:tc>
      </w:tr>
      <w:tr w:rsidR="00D1340E" w:rsidRPr="00F47C0D" w14:paraId="01B71EE7" w14:textId="59F62AA9" w:rsidTr="00D1340E">
        <w:trPr>
          <w:trHeight w:val="1565"/>
        </w:trPr>
        <w:tc>
          <w:tcPr>
            <w:tcW w:w="704" w:type="dxa"/>
          </w:tcPr>
          <w:p w14:paraId="68DFB917" w14:textId="77777777" w:rsidR="00D1340E" w:rsidRDefault="00D1340E" w:rsidP="00BE6193">
            <w:pPr>
              <w:spacing w:after="0"/>
            </w:pPr>
            <w:r>
              <w:lastRenderedPageBreak/>
              <w:t>116</w:t>
            </w:r>
          </w:p>
        </w:tc>
        <w:tc>
          <w:tcPr>
            <w:tcW w:w="13511" w:type="dxa"/>
            <w:shd w:val="clear" w:color="auto" w:fill="auto"/>
            <w:noWrap/>
          </w:tcPr>
          <w:p w14:paraId="581AEDE7" w14:textId="77777777" w:rsidR="00D1340E" w:rsidRDefault="00D1340E" w:rsidP="00BE6193">
            <w:pPr>
              <w:spacing w:after="0"/>
            </w:pPr>
            <w:r>
              <w:t>Location on page: middle</w:t>
            </w:r>
          </w:p>
          <w:p w14:paraId="3604BC47" w14:textId="6E1D221B" w:rsidR="00D1340E" w:rsidRDefault="00D1340E" w:rsidP="00BE6193">
            <w:pPr>
              <w:spacing w:after="0"/>
            </w:pPr>
            <w:r>
              <w:t>Reads:</w:t>
            </w:r>
          </w:p>
          <w:p w14:paraId="374289D8" w14:textId="6A7AE9FB" w:rsidR="00D1340E" w:rsidRDefault="00D1340E" w:rsidP="00BE6193">
            <w:pPr>
              <w:spacing w:after="0"/>
            </w:pPr>
            <w:r>
              <w:t>two special enhanced key usage (EKU) OIDs that can be encoded in a digital code signing certificate: 1.3.6.1.4.1.311.10.3.22 and 1.3.</w:t>
            </w:r>
            <w:r w:rsidRPr="004655E8">
              <w:rPr>
                <w:highlight w:val="yellow"/>
              </w:rPr>
              <w:t>6.4</w:t>
            </w:r>
            <w:r>
              <w:t>.1.311.10.3.20.</w:t>
            </w:r>
          </w:p>
          <w:p w14:paraId="086F2C83" w14:textId="2C0B4767" w:rsidR="00D1340E" w:rsidRDefault="00D1340E" w:rsidP="00BE6193">
            <w:pPr>
              <w:spacing w:after="0"/>
            </w:pPr>
          </w:p>
          <w:p w14:paraId="47BEFB88" w14:textId="5BD1B2C4" w:rsidR="00D1340E" w:rsidRDefault="00D1340E" w:rsidP="00BE6193">
            <w:pPr>
              <w:spacing w:after="0"/>
            </w:pPr>
            <w:r>
              <w:t>Should read:</w:t>
            </w:r>
          </w:p>
          <w:p w14:paraId="686B916E" w14:textId="39721854" w:rsidR="00D1340E" w:rsidRDefault="00D1340E" w:rsidP="00BE6193">
            <w:pPr>
              <w:spacing w:after="0"/>
            </w:pPr>
            <w:r>
              <w:t xml:space="preserve">two special enhanced key usage (EKU) OIDs that can be encoded in a digital code signing certificate: 1.3.6.1.4.1.311.10.3.22 </w:t>
            </w:r>
            <w:r>
              <w:t>and 1.3.</w:t>
            </w:r>
            <w:r w:rsidRPr="004655E8">
              <w:rPr>
                <w:highlight w:val="yellow"/>
              </w:rPr>
              <w:t>6.1.4</w:t>
            </w:r>
            <w:r>
              <w:t>.1.311.10.3.20."</w:t>
            </w:r>
          </w:p>
        </w:tc>
      </w:tr>
      <w:tr w:rsidR="00D1340E" w:rsidRPr="00F47C0D" w14:paraId="5A0C06E1" w14:textId="5A1309A3" w:rsidTr="00D1340E">
        <w:trPr>
          <w:trHeight w:val="1565"/>
        </w:trPr>
        <w:tc>
          <w:tcPr>
            <w:tcW w:w="704" w:type="dxa"/>
          </w:tcPr>
          <w:p w14:paraId="692933A5" w14:textId="77777777" w:rsidR="00D1340E" w:rsidRDefault="00D1340E" w:rsidP="00BE6193">
            <w:pPr>
              <w:spacing w:after="0"/>
            </w:pPr>
            <w:r>
              <w:t>123</w:t>
            </w:r>
          </w:p>
        </w:tc>
        <w:tc>
          <w:tcPr>
            <w:tcW w:w="13511" w:type="dxa"/>
            <w:shd w:val="clear" w:color="auto" w:fill="auto"/>
            <w:noWrap/>
          </w:tcPr>
          <w:p w14:paraId="4E2862AF" w14:textId="5731B5A7" w:rsidR="00D1340E" w:rsidRDefault="00D1340E" w:rsidP="00BE6193">
            <w:pPr>
              <w:spacing w:after="0"/>
            </w:pPr>
            <w:r>
              <w:t>Location on page: bottom</w:t>
            </w:r>
            <w:r>
              <w:br/>
              <w:t xml:space="preserve">Reads </w:t>
            </w:r>
          </w:p>
          <w:p w14:paraId="12FE585C" w14:textId="77777777" w:rsidR="00D1340E" w:rsidRDefault="00D1340E" w:rsidP="00BE6193">
            <w:pPr>
              <w:spacing w:after="0"/>
            </w:pPr>
            <w:r>
              <w:t>"Isolated User Mode EKU (1.3.6.1.</w:t>
            </w:r>
            <w:r w:rsidRPr="00B6450B">
              <w:rPr>
                <w:highlight w:val="yellow"/>
              </w:rPr>
              <w:t>4.311</w:t>
            </w:r>
            <w:r>
              <w:t xml:space="preserve">.10.3.37)." </w:t>
            </w:r>
          </w:p>
          <w:p w14:paraId="3EE0BF30" w14:textId="5E04B6CA" w:rsidR="00D1340E" w:rsidRDefault="00D1340E" w:rsidP="00BE6193">
            <w:pPr>
              <w:spacing w:after="0"/>
            </w:pPr>
            <w:r>
              <w:t>Should Read:</w:t>
            </w:r>
          </w:p>
          <w:p w14:paraId="18B104A6" w14:textId="42908F92" w:rsidR="00D1340E" w:rsidRDefault="00D1340E" w:rsidP="00BE6193">
            <w:pPr>
              <w:spacing w:after="0"/>
            </w:pPr>
            <w:r>
              <w:t>"Isolated User Mode EKU (1.3.6.1.</w:t>
            </w:r>
            <w:r w:rsidRPr="00B6450B">
              <w:rPr>
                <w:highlight w:val="yellow"/>
              </w:rPr>
              <w:t>4.1.311</w:t>
            </w:r>
            <w:r>
              <w:t>.10.3.37)."</w:t>
            </w:r>
            <w:r>
              <w:br/>
            </w:r>
          </w:p>
        </w:tc>
      </w:tr>
      <w:tr w:rsidR="00D1340E" w:rsidRPr="00F47C0D" w14:paraId="20C1E013" w14:textId="7FD16EB3" w:rsidTr="00D1340E">
        <w:trPr>
          <w:trHeight w:val="1565"/>
        </w:trPr>
        <w:tc>
          <w:tcPr>
            <w:tcW w:w="704" w:type="dxa"/>
          </w:tcPr>
          <w:p w14:paraId="1A70D6E2" w14:textId="77777777" w:rsidR="00D1340E" w:rsidRDefault="00D1340E" w:rsidP="00BE6193">
            <w:pPr>
              <w:spacing w:after="0"/>
            </w:pPr>
            <w:r>
              <w:t>167</w:t>
            </w:r>
          </w:p>
        </w:tc>
        <w:tc>
          <w:tcPr>
            <w:tcW w:w="13511" w:type="dxa"/>
            <w:shd w:val="clear" w:color="auto" w:fill="auto"/>
            <w:noWrap/>
          </w:tcPr>
          <w:p w14:paraId="04023478" w14:textId="2912BF08" w:rsidR="00D1340E" w:rsidRDefault="00D1340E" w:rsidP="00BE6193">
            <w:pPr>
              <w:spacing w:after="0"/>
            </w:pPr>
            <w:r>
              <w:t>Location on page: bottom</w:t>
            </w:r>
            <w:r>
              <w:br/>
              <w:t xml:space="preserve">Description of error:  </w:t>
            </w:r>
            <w:r>
              <w:t xml:space="preserve">– </w:t>
            </w:r>
            <w:r w:rsidRPr="00C77CB2">
              <w:rPr>
                <w:highlight w:val="yellow"/>
              </w:rPr>
              <w:t xml:space="preserve">replace all instances of </w:t>
            </w:r>
            <w:proofErr w:type="spellStart"/>
            <w:r w:rsidRPr="00C77CB2">
              <w:rPr>
                <w:highlight w:val="yellow"/>
              </w:rPr>
              <w:t>PsActiveModuleList</w:t>
            </w:r>
            <w:proofErr w:type="spellEnd"/>
            <w:r w:rsidRPr="00C77CB2">
              <w:rPr>
                <w:highlight w:val="yellow"/>
              </w:rPr>
              <w:t xml:space="preserve"> with </w:t>
            </w:r>
            <w:proofErr w:type="spellStart"/>
            <w:r w:rsidRPr="00C77CB2">
              <w:rPr>
                <w:highlight w:val="yellow"/>
              </w:rPr>
              <w:t>PsLoadedModuleList</w:t>
            </w:r>
            <w:proofErr w:type="spellEnd"/>
            <w:r w:rsidRPr="00C77CB2">
              <w:rPr>
                <w:highlight w:val="yellow"/>
              </w:rPr>
              <w:t xml:space="preserve"> and replace the entire code line in the last sentence of the paragraph.</w:t>
            </w:r>
          </w:p>
          <w:p w14:paraId="1C5FC044" w14:textId="205FBFAE" w:rsidR="00D1340E" w:rsidRDefault="00D1340E" w:rsidP="00BE6193">
            <w:pPr>
              <w:spacing w:after="0"/>
            </w:pPr>
          </w:p>
          <w:p w14:paraId="14493AEC" w14:textId="7E29AF0B" w:rsidR="00D1340E" w:rsidRDefault="00D1340E" w:rsidP="00BE6193">
            <w:pPr>
              <w:spacing w:after="0"/>
            </w:pPr>
            <w:r>
              <w:t>Reads:</w:t>
            </w:r>
          </w:p>
          <w:p w14:paraId="6E02A249" w14:textId="740EE7F9" w:rsidR="00D1340E" w:rsidRDefault="00D1340E" w:rsidP="00C77CB2">
            <w:pPr>
              <w:spacing w:after="0"/>
            </w:pPr>
            <w:r>
              <w:t>Likewise, the kernel-mode loader has its own database of such entries, which is</w:t>
            </w:r>
            <w:r>
              <w:t xml:space="preserve"> </w:t>
            </w:r>
            <w:r>
              <w:t xml:space="preserve">directly accessible through the </w:t>
            </w:r>
            <w:proofErr w:type="spellStart"/>
            <w:r w:rsidRPr="00C77CB2">
              <w:rPr>
                <w:highlight w:val="yellow"/>
              </w:rPr>
              <w:t>PsActiveModuleList</w:t>
            </w:r>
            <w:proofErr w:type="spellEnd"/>
            <w:r>
              <w:t xml:space="preserve"> global data variable. To dump the kernel’s loaded</w:t>
            </w:r>
            <w:r>
              <w:t xml:space="preserve"> </w:t>
            </w:r>
            <w:r>
              <w:t xml:space="preserve">module database, you can use a </w:t>
            </w:r>
            <w:proofErr w:type="gramStart"/>
            <w:r>
              <w:t>similar !list</w:t>
            </w:r>
            <w:proofErr w:type="gramEnd"/>
            <w:r>
              <w:t xml:space="preserve"> command as shown in the preceding experiment by</w:t>
            </w:r>
            <w:r>
              <w:t xml:space="preserve"> </w:t>
            </w:r>
            <w:r>
              <w:t xml:space="preserve">replacing the pointer at the end of the command with </w:t>
            </w:r>
            <w:proofErr w:type="spellStart"/>
            <w:r>
              <w:t>n</w:t>
            </w:r>
            <w:r>
              <w:t>t!</w:t>
            </w:r>
            <w:r w:rsidRPr="00C77CB2">
              <w:rPr>
                <w:highlight w:val="yellow"/>
              </w:rPr>
              <w:t>PsActiveModuleList</w:t>
            </w:r>
            <w:proofErr w:type="spellEnd"/>
            <w:r>
              <w:t xml:space="preserve"> and using the new</w:t>
            </w:r>
            <w:r>
              <w:t xml:space="preserve"> </w:t>
            </w:r>
            <w:r>
              <w:t xml:space="preserve">structure/module name: </w:t>
            </w:r>
            <w:r w:rsidRPr="00C77CB2">
              <w:rPr>
                <w:highlight w:val="yellow"/>
              </w:rPr>
              <w:t xml:space="preserve">!list </w:t>
            </w:r>
            <w:proofErr w:type="spellStart"/>
            <w:r w:rsidRPr="00C77CB2">
              <w:rPr>
                <w:highlight w:val="yellow"/>
              </w:rPr>
              <w:t>nt</w:t>
            </w:r>
            <w:proofErr w:type="spellEnd"/>
            <w:r w:rsidRPr="00C77CB2">
              <w:rPr>
                <w:highlight w:val="yellow"/>
              </w:rPr>
              <w:t xml:space="preserve">!_KLDR_DATA_TABLE_ENTRY </w:t>
            </w:r>
            <w:proofErr w:type="spellStart"/>
            <w:r w:rsidRPr="00C77CB2">
              <w:rPr>
                <w:highlight w:val="yellow"/>
              </w:rPr>
              <w:t>nt!PsActiveModuleList</w:t>
            </w:r>
            <w:proofErr w:type="spellEnd"/>
            <w:r>
              <w:t>.</w:t>
            </w:r>
            <w:r w:rsidRPr="00317377">
              <w:t xml:space="preserve"> </w:t>
            </w:r>
          </w:p>
          <w:p w14:paraId="656E2DD4" w14:textId="4EE1099D" w:rsidR="00D1340E" w:rsidRDefault="00D1340E" w:rsidP="00BE6193">
            <w:pPr>
              <w:spacing w:after="0"/>
            </w:pPr>
          </w:p>
          <w:p w14:paraId="2A3A9F95" w14:textId="150CECE2" w:rsidR="00D1340E" w:rsidRDefault="00D1340E" w:rsidP="00BE6193">
            <w:pPr>
              <w:spacing w:after="0"/>
            </w:pPr>
            <w:r>
              <w:t xml:space="preserve">Should read </w:t>
            </w:r>
          </w:p>
          <w:p w14:paraId="75F05A37" w14:textId="0D87A1BC" w:rsidR="00D1340E" w:rsidRPr="00035348" w:rsidRDefault="00D1340E" w:rsidP="00BE6193">
            <w:pPr>
              <w:spacing w:after="0"/>
              <w:rPr>
                <w:highlight w:val="yellow"/>
              </w:rPr>
            </w:pPr>
            <w:r>
              <w:t>Likewise, the kernel-mode loader has its own database of such entries, which is</w:t>
            </w:r>
            <w:r>
              <w:t xml:space="preserve"> </w:t>
            </w:r>
            <w:r>
              <w:t xml:space="preserve">directly accessible through the </w:t>
            </w:r>
            <w:proofErr w:type="spellStart"/>
            <w:r w:rsidRPr="00C77CB2">
              <w:rPr>
                <w:highlight w:val="yellow"/>
              </w:rPr>
              <w:t>PsLoadedModuleList</w:t>
            </w:r>
            <w:proofErr w:type="spellEnd"/>
            <w:r>
              <w:t xml:space="preserve"> global data variable. To dump the kernel’s loaded</w:t>
            </w:r>
            <w:r>
              <w:t xml:space="preserve"> </w:t>
            </w:r>
            <w:r>
              <w:t xml:space="preserve">module database, you can use a </w:t>
            </w:r>
            <w:proofErr w:type="gramStart"/>
            <w:r>
              <w:t>similar !list</w:t>
            </w:r>
            <w:proofErr w:type="gramEnd"/>
            <w:r>
              <w:t xml:space="preserve"> command as shown in the preceding experiment by</w:t>
            </w:r>
            <w:r>
              <w:t xml:space="preserve"> </w:t>
            </w:r>
            <w:r>
              <w:t xml:space="preserve">replacing the pointer at the end of the command with </w:t>
            </w:r>
            <w:proofErr w:type="spellStart"/>
            <w:r>
              <w:t>nt</w:t>
            </w:r>
            <w:proofErr w:type="spellEnd"/>
            <w:r>
              <w:t>!</w:t>
            </w:r>
            <w:r w:rsidRPr="00C77CB2">
              <w:rPr>
                <w:highlight w:val="yellow"/>
              </w:rPr>
              <w:t xml:space="preserve"> </w:t>
            </w:r>
            <w:proofErr w:type="spellStart"/>
            <w:r w:rsidRPr="00C77CB2">
              <w:rPr>
                <w:highlight w:val="yellow"/>
              </w:rPr>
              <w:t>PsLoadedModuleList</w:t>
            </w:r>
            <w:proofErr w:type="spellEnd"/>
            <w:r>
              <w:t xml:space="preserve"> and using the new</w:t>
            </w:r>
            <w:r>
              <w:t xml:space="preserve"> </w:t>
            </w:r>
            <w:r>
              <w:t>structure/module name</w:t>
            </w:r>
            <w:proofErr w:type="gramStart"/>
            <w:r>
              <w:t>:</w:t>
            </w:r>
            <w:r>
              <w:t xml:space="preserve"> </w:t>
            </w:r>
            <w:r w:rsidRPr="00992E3F">
              <w:rPr>
                <w:highlight w:val="yellow"/>
              </w:rPr>
              <w:t>!list</w:t>
            </w:r>
            <w:proofErr w:type="gramEnd"/>
            <w:r w:rsidRPr="00992E3F">
              <w:rPr>
                <w:highlight w:val="yellow"/>
              </w:rPr>
              <w:t xml:space="preserve"> -x " </w:t>
            </w:r>
            <w:proofErr w:type="spellStart"/>
            <w:r w:rsidRPr="00992E3F">
              <w:rPr>
                <w:highlight w:val="yellow"/>
              </w:rPr>
              <w:t>dt</w:t>
            </w:r>
            <w:proofErr w:type="spellEnd"/>
            <w:r w:rsidRPr="00992E3F">
              <w:rPr>
                <w:highlight w:val="yellow"/>
              </w:rPr>
              <w:t xml:space="preserve"> </w:t>
            </w:r>
            <w:proofErr w:type="spellStart"/>
            <w:r w:rsidRPr="00992E3F">
              <w:rPr>
                <w:highlight w:val="yellow"/>
              </w:rPr>
              <w:t>nt</w:t>
            </w:r>
            <w:proofErr w:type="spellEnd"/>
            <w:r w:rsidRPr="00992E3F">
              <w:rPr>
                <w:highlight w:val="yellow"/>
              </w:rPr>
              <w:t>!_</w:t>
            </w:r>
            <w:proofErr w:type="spellStart"/>
            <w:r w:rsidRPr="00992E3F">
              <w:rPr>
                <w:highlight w:val="yellow"/>
              </w:rPr>
              <w:t>kldr_data_table_entry</w:t>
            </w:r>
            <w:proofErr w:type="spellEnd"/>
            <w:r w:rsidRPr="00992E3F">
              <w:rPr>
                <w:highlight w:val="yellow"/>
              </w:rPr>
              <w:t xml:space="preserve">" </w:t>
            </w:r>
            <w:proofErr w:type="spellStart"/>
            <w:r w:rsidRPr="00992E3F">
              <w:rPr>
                <w:highlight w:val="yellow"/>
              </w:rPr>
              <w:t>nt!PsLoadedModuleList</w:t>
            </w:r>
            <w:proofErr w:type="spellEnd"/>
            <w:r>
              <w:rPr>
                <w:highlight w:val="yellow"/>
              </w:rPr>
              <w:t xml:space="preserve"> </w:t>
            </w:r>
          </w:p>
        </w:tc>
      </w:tr>
      <w:tr w:rsidR="00D1340E" w:rsidRPr="00F47C0D" w14:paraId="774D27F1" w14:textId="314FEC9B" w:rsidTr="00D1340E">
        <w:trPr>
          <w:trHeight w:val="1565"/>
        </w:trPr>
        <w:tc>
          <w:tcPr>
            <w:tcW w:w="704" w:type="dxa"/>
          </w:tcPr>
          <w:p w14:paraId="5A976DBC" w14:textId="77777777" w:rsidR="00D1340E" w:rsidRDefault="00D1340E" w:rsidP="00BE6193">
            <w:pPr>
              <w:spacing w:after="0"/>
            </w:pPr>
            <w:r>
              <w:t>167</w:t>
            </w:r>
          </w:p>
        </w:tc>
        <w:tc>
          <w:tcPr>
            <w:tcW w:w="13511" w:type="dxa"/>
            <w:shd w:val="clear" w:color="auto" w:fill="auto"/>
            <w:noWrap/>
          </w:tcPr>
          <w:p w14:paraId="487E5135" w14:textId="190F4EDE" w:rsidR="00D1340E" w:rsidRDefault="00D1340E" w:rsidP="00BE6193">
            <w:pPr>
              <w:spacing w:after="0"/>
            </w:pPr>
            <w:r>
              <w:t>Location on page: Middle bullet 3.</w:t>
            </w:r>
          </w:p>
          <w:p w14:paraId="4FE74BA0" w14:textId="2EBB920A" w:rsidR="00D1340E" w:rsidRDefault="00D1340E" w:rsidP="00BE6193">
            <w:pPr>
              <w:spacing w:after="0"/>
            </w:pPr>
            <w:r>
              <w:br/>
              <w:t xml:space="preserve">Description of error: Command is Syntactically Incorrect and does not work. </w:t>
            </w:r>
            <w:r w:rsidRPr="00035348">
              <w:t>In the book the dash ended up as a long ‘</w:t>
            </w:r>
            <w:proofErr w:type="spellStart"/>
            <w:r w:rsidRPr="00035348">
              <w:t>em</w:t>
            </w:r>
            <w:proofErr w:type="spellEnd"/>
            <w:r w:rsidRPr="00035348">
              <w:t>’ dash vs the regular dash.</w:t>
            </w:r>
            <w:r>
              <w:br/>
              <w:t xml:space="preserve">!list </w:t>
            </w:r>
            <w:r w:rsidRPr="00035348">
              <w:rPr>
                <w:highlight w:val="yellow"/>
              </w:rPr>
              <w:t>–</w:t>
            </w:r>
            <w:r>
              <w:t>x "</w:t>
            </w:r>
            <w:proofErr w:type="spellStart"/>
            <w:r>
              <w:t>dt</w:t>
            </w:r>
            <w:proofErr w:type="spellEnd"/>
            <w:r>
              <w:t xml:space="preserve"> </w:t>
            </w:r>
            <w:proofErr w:type="spellStart"/>
            <w:r>
              <w:t>ntdll</w:t>
            </w:r>
            <w:proofErr w:type="spellEnd"/>
            <w:r>
              <w:t>!_LDR_DATA_TABLE_ENTRY" @@C++(&amp;@$</w:t>
            </w:r>
            <w:proofErr w:type="spellStart"/>
            <w:r>
              <w:t>peb</w:t>
            </w:r>
            <w:proofErr w:type="spellEnd"/>
            <w:r>
              <w:t>-&gt;</w:t>
            </w:r>
            <w:proofErr w:type="spellStart"/>
            <w:r w:rsidRPr="00035348">
              <w:t>Ldr</w:t>
            </w:r>
            <w:proofErr w:type="spellEnd"/>
            <w:r w:rsidRPr="00035348">
              <w:t>-&gt;</w:t>
            </w:r>
            <w:proofErr w:type="spellStart"/>
            <w:r w:rsidRPr="00035348">
              <w:t>InLoadOrderModuleList</w:t>
            </w:r>
            <w:proofErr w:type="spellEnd"/>
            <w:r w:rsidRPr="00035348">
              <w:t>)</w:t>
            </w:r>
            <w:r>
              <w:br/>
            </w:r>
            <w:r>
              <w:br/>
            </w:r>
            <w:r>
              <w:lastRenderedPageBreak/>
              <w:t>The correct Command should be regular dash in front of the x</w:t>
            </w:r>
            <w:r>
              <w:br/>
              <w:t xml:space="preserve">!list </w:t>
            </w:r>
            <w:r w:rsidRPr="00035348">
              <w:rPr>
                <w:highlight w:val="yellow"/>
              </w:rPr>
              <w:t>-</w:t>
            </w:r>
            <w:r>
              <w:t>x "</w:t>
            </w:r>
            <w:proofErr w:type="spellStart"/>
            <w:r>
              <w:t>dt</w:t>
            </w:r>
            <w:proofErr w:type="spellEnd"/>
            <w:r>
              <w:t xml:space="preserve"> </w:t>
            </w:r>
            <w:proofErr w:type="spellStart"/>
            <w:r>
              <w:t>ntdll</w:t>
            </w:r>
            <w:proofErr w:type="spellEnd"/>
            <w:r>
              <w:t xml:space="preserve">!_LDR_DATA_TABLE_ENTRY" </w:t>
            </w:r>
            <w:r>
              <w:t>@@C++(&amp;@$</w:t>
            </w:r>
            <w:proofErr w:type="spellStart"/>
            <w:r>
              <w:t>peb</w:t>
            </w:r>
            <w:proofErr w:type="spellEnd"/>
            <w:r>
              <w:t>-&gt;</w:t>
            </w:r>
            <w:proofErr w:type="spellStart"/>
            <w:r w:rsidRPr="00035348">
              <w:t>Ldr</w:t>
            </w:r>
            <w:proofErr w:type="spellEnd"/>
            <w:r w:rsidRPr="00035348">
              <w:t>-&gt;</w:t>
            </w:r>
            <w:proofErr w:type="spellStart"/>
            <w:r w:rsidRPr="00035348">
              <w:t>InLoadOrderModuleList</w:t>
            </w:r>
            <w:proofErr w:type="spellEnd"/>
            <w:r w:rsidRPr="00035348">
              <w:t>)</w:t>
            </w:r>
          </w:p>
        </w:tc>
      </w:tr>
      <w:tr w:rsidR="00D1340E" w:rsidRPr="00F47C0D" w14:paraId="1A33C40F" w14:textId="1D0E4B67" w:rsidTr="00D1340E">
        <w:trPr>
          <w:trHeight w:val="1565"/>
        </w:trPr>
        <w:tc>
          <w:tcPr>
            <w:tcW w:w="704" w:type="dxa"/>
          </w:tcPr>
          <w:p w14:paraId="66023B30" w14:textId="77777777" w:rsidR="00D1340E" w:rsidRDefault="00D1340E" w:rsidP="00BE6193">
            <w:pPr>
              <w:spacing w:after="0"/>
            </w:pPr>
            <w:r>
              <w:lastRenderedPageBreak/>
              <w:t>216</w:t>
            </w:r>
          </w:p>
        </w:tc>
        <w:tc>
          <w:tcPr>
            <w:tcW w:w="13511" w:type="dxa"/>
            <w:shd w:val="clear" w:color="auto" w:fill="auto"/>
            <w:noWrap/>
          </w:tcPr>
          <w:p w14:paraId="3AFD75A0" w14:textId="7C50EF36" w:rsidR="00D1340E" w:rsidRDefault="00D1340E" w:rsidP="00BE6193">
            <w:pPr>
              <w:spacing w:after="0"/>
            </w:pPr>
            <w:r>
              <w:t>Location on page: bottom</w:t>
            </w:r>
          </w:p>
          <w:p w14:paraId="3C3C511B" w14:textId="77777777" w:rsidR="00D1340E" w:rsidRDefault="00D1340E" w:rsidP="00BE6193">
            <w:pPr>
              <w:spacing w:after="0"/>
            </w:pPr>
          </w:p>
          <w:p w14:paraId="37C0D38C" w14:textId="56F0B1CC" w:rsidR="00D1340E" w:rsidRDefault="00D1340E" w:rsidP="00BE6193">
            <w:pPr>
              <w:spacing w:after="0"/>
            </w:pPr>
            <w:r>
              <w:t>Reads:</w:t>
            </w:r>
          </w:p>
          <w:p w14:paraId="081B0BB1" w14:textId="71005D49" w:rsidR="00D1340E" w:rsidRDefault="00D1340E" w:rsidP="00BE6193">
            <w:pPr>
              <w:spacing w:after="0"/>
            </w:pPr>
            <w:r w:rsidRPr="00A25CAA">
              <w:t xml:space="preserve">earlier, which sets priorities of 4, 8, 13, </w:t>
            </w:r>
            <w:r w:rsidRPr="00A25CAA">
              <w:rPr>
                <w:highlight w:val="yellow"/>
              </w:rPr>
              <w:t>14</w:t>
            </w:r>
            <w:r w:rsidRPr="00A25CAA">
              <w:t>, 6, and 10, respectively.</w:t>
            </w:r>
          </w:p>
          <w:p w14:paraId="3607A99D" w14:textId="5F02BBAF" w:rsidR="00D1340E" w:rsidRDefault="00D1340E" w:rsidP="00BE6193">
            <w:pPr>
              <w:spacing w:after="0"/>
            </w:pPr>
          </w:p>
          <w:p w14:paraId="06E705A4" w14:textId="2107B93C" w:rsidR="00D1340E" w:rsidRDefault="00D1340E" w:rsidP="00BE6193">
            <w:pPr>
              <w:spacing w:after="0"/>
            </w:pPr>
            <w:r>
              <w:t>Should read:</w:t>
            </w:r>
          </w:p>
          <w:p w14:paraId="2769A034" w14:textId="79AF44BE" w:rsidR="00D1340E" w:rsidRDefault="00D1340E" w:rsidP="00BE6193">
            <w:pPr>
              <w:spacing w:after="0"/>
            </w:pPr>
            <w:r w:rsidRPr="00A25CAA">
              <w:t xml:space="preserve">earlier, </w:t>
            </w:r>
            <w:r>
              <w:t xml:space="preserve">which sets priorities of 4, 8, 13, </w:t>
            </w:r>
            <w:r w:rsidRPr="00BE6193">
              <w:rPr>
                <w:highlight w:val="yellow"/>
              </w:rPr>
              <w:t>24</w:t>
            </w:r>
            <w:r>
              <w:t>, 6, and 10, respectively.</w:t>
            </w:r>
          </w:p>
        </w:tc>
      </w:tr>
      <w:tr w:rsidR="00D1340E" w:rsidRPr="00F47C0D" w14:paraId="19F7960C" w14:textId="78FF06D4" w:rsidTr="00D1340E">
        <w:trPr>
          <w:trHeight w:val="1565"/>
        </w:trPr>
        <w:tc>
          <w:tcPr>
            <w:tcW w:w="704" w:type="dxa"/>
          </w:tcPr>
          <w:p w14:paraId="4EF52CC5" w14:textId="77777777" w:rsidR="00D1340E" w:rsidRDefault="00D1340E" w:rsidP="00BE6193">
            <w:pPr>
              <w:spacing w:after="0"/>
            </w:pPr>
            <w:r>
              <w:t>221</w:t>
            </w:r>
          </w:p>
        </w:tc>
        <w:tc>
          <w:tcPr>
            <w:tcW w:w="13511" w:type="dxa"/>
            <w:shd w:val="clear" w:color="auto" w:fill="auto"/>
            <w:noWrap/>
          </w:tcPr>
          <w:p w14:paraId="4FB0684D" w14:textId="5BD6E5B9" w:rsidR="00D1340E" w:rsidRDefault="00D1340E" w:rsidP="00BE6193">
            <w:pPr>
              <w:spacing w:after="0"/>
            </w:pPr>
            <w:r>
              <w:t>Location on page: bottom of 221, step 13</w:t>
            </w:r>
            <w:r>
              <w:br/>
            </w:r>
          </w:p>
          <w:p w14:paraId="0EA6EED3" w14:textId="77777777" w:rsidR="00D1340E" w:rsidRDefault="00D1340E" w:rsidP="00BE6193">
            <w:pPr>
              <w:spacing w:after="0"/>
            </w:pPr>
            <w:r>
              <w:t>Reads:</w:t>
            </w:r>
          </w:p>
          <w:p w14:paraId="15DE916E" w14:textId="392B340A" w:rsidR="00D1340E" w:rsidRDefault="00D1340E" w:rsidP="00A25CAA">
            <w:pPr>
              <w:spacing w:after="0"/>
            </w:pPr>
            <w:r>
              <w:t>Note that you can also make this change in Process</w:t>
            </w:r>
            <w:r>
              <w:t xml:space="preserve"> </w:t>
            </w:r>
            <w:r w:rsidRPr="00A25CAA">
              <w:rPr>
                <w:highlight w:val="yellow"/>
              </w:rPr>
              <w:t>Manager</w:t>
            </w:r>
            <w:r>
              <w:t>.)</w:t>
            </w:r>
          </w:p>
          <w:p w14:paraId="77D46B75" w14:textId="77777777" w:rsidR="00D1340E" w:rsidRDefault="00D1340E" w:rsidP="00BE6193">
            <w:pPr>
              <w:spacing w:after="0"/>
            </w:pPr>
          </w:p>
          <w:p w14:paraId="222073EE" w14:textId="167DEC06" w:rsidR="00D1340E" w:rsidRDefault="00D1340E" w:rsidP="00BE6193">
            <w:pPr>
              <w:spacing w:after="0"/>
            </w:pPr>
            <w:r>
              <w:t>Should Read:</w:t>
            </w:r>
          </w:p>
          <w:p w14:paraId="1754596E" w14:textId="3437B169" w:rsidR="00D1340E" w:rsidRDefault="00D1340E" w:rsidP="00A25CAA">
            <w:pPr>
              <w:spacing w:after="0"/>
            </w:pPr>
            <w:r>
              <w:t xml:space="preserve">Note that you can also make this change in </w:t>
            </w:r>
            <w:r>
              <w:t xml:space="preserve">Process </w:t>
            </w:r>
            <w:r w:rsidRPr="00A25CAA">
              <w:rPr>
                <w:highlight w:val="yellow"/>
              </w:rPr>
              <w:t>Explorer.</w:t>
            </w:r>
            <w:r>
              <w:t>)</w:t>
            </w:r>
            <w:r>
              <w:br/>
            </w:r>
          </w:p>
        </w:tc>
      </w:tr>
      <w:tr w:rsidR="00D1340E" w:rsidRPr="00F47C0D" w14:paraId="336389F7" w14:textId="77777777" w:rsidTr="00D1340E">
        <w:trPr>
          <w:trHeight w:val="1565"/>
        </w:trPr>
        <w:tc>
          <w:tcPr>
            <w:tcW w:w="704" w:type="dxa"/>
          </w:tcPr>
          <w:p w14:paraId="1C367F95" w14:textId="77777777" w:rsidR="00D1340E" w:rsidRDefault="00D1340E" w:rsidP="00BE6193">
            <w:pPr>
              <w:spacing w:after="0"/>
            </w:pPr>
            <w:r>
              <w:t>424</w:t>
            </w:r>
          </w:p>
        </w:tc>
        <w:tc>
          <w:tcPr>
            <w:tcW w:w="13511" w:type="dxa"/>
            <w:shd w:val="clear" w:color="auto" w:fill="auto"/>
            <w:noWrap/>
          </w:tcPr>
          <w:p w14:paraId="5FB0C4BD" w14:textId="6309B6A0" w:rsidR="00D1340E" w:rsidRDefault="00D1340E" w:rsidP="00BE6193">
            <w:pPr>
              <w:spacing w:after="0"/>
            </w:pPr>
            <w:r>
              <w:t xml:space="preserve">Description of error: </w:t>
            </w:r>
          </w:p>
          <w:p w14:paraId="38396766" w14:textId="6716CD83" w:rsidR="00D1340E" w:rsidRDefault="00D1340E" w:rsidP="00BE6193">
            <w:pPr>
              <w:spacing w:after="0"/>
            </w:pPr>
            <w:r>
              <w:t xml:space="preserve">In the "Memory Notification Events" section, just after table 5-18 there is a note and the registry key </w:t>
            </w:r>
            <w:proofErr w:type="gramStart"/>
            <w:r>
              <w:t>is</w:t>
            </w:r>
            <w:proofErr w:type="gramEnd"/>
            <w:r>
              <w:t xml:space="preserve"> wrong.</w:t>
            </w:r>
          </w:p>
          <w:p w14:paraId="2B28B307" w14:textId="5368ECEE" w:rsidR="00D1340E" w:rsidRDefault="00D1340E" w:rsidP="00BE6193">
            <w:pPr>
              <w:spacing w:after="0"/>
            </w:pPr>
          </w:p>
          <w:p w14:paraId="7B565B0C" w14:textId="3A0FAE47" w:rsidR="00D1340E" w:rsidRDefault="00D1340E" w:rsidP="00BE6193">
            <w:pPr>
              <w:spacing w:after="0"/>
            </w:pPr>
            <w:r>
              <w:t>Reads:</w:t>
            </w:r>
          </w:p>
          <w:p w14:paraId="0D408E46" w14:textId="67F062D4" w:rsidR="00D1340E" w:rsidRDefault="00D1340E" w:rsidP="00BE6193">
            <w:pPr>
              <w:spacing w:after="0"/>
            </w:pPr>
            <w:r>
              <w:t xml:space="preserve">You can override the high and low memory values by adding the </w:t>
            </w:r>
            <w:proofErr w:type="spellStart"/>
            <w:r>
              <w:t>LowMemoryThreshold</w:t>
            </w:r>
            <w:proofErr w:type="spellEnd"/>
            <w:r>
              <w:t xml:space="preserve"> or </w:t>
            </w:r>
            <w:proofErr w:type="spellStart"/>
            <w:r>
              <w:t>HighMemoryThreshold</w:t>
            </w:r>
            <w:proofErr w:type="spellEnd"/>
            <w:r>
              <w:t xml:space="preserve"> DWORD registry value under </w:t>
            </w:r>
            <w:r w:rsidRPr="00671CD8">
              <w:rPr>
                <w:highlight w:val="yellow"/>
              </w:rPr>
              <w:t>HKLM\SYSTEM\</w:t>
            </w:r>
            <w:proofErr w:type="spellStart"/>
            <w:r w:rsidRPr="00671CD8">
              <w:rPr>
                <w:highlight w:val="yellow"/>
              </w:rPr>
              <w:t>CurrentControlSet</w:t>
            </w:r>
            <w:proofErr w:type="spellEnd"/>
            <w:r w:rsidRPr="00671CD8">
              <w:rPr>
                <w:highlight w:val="yellow"/>
              </w:rPr>
              <w:t>\Session Manager\Memory Management</w:t>
            </w:r>
            <w:r>
              <w:t>.</w:t>
            </w:r>
          </w:p>
          <w:p w14:paraId="10D59C00" w14:textId="77777777" w:rsidR="00D1340E" w:rsidRDefault="00D1340E" w:rsidP="00BE6193">
            <w:pPr>
              <w:spacing w:after="0"/>
            </w:pPr>
          </w:p>
          <w:p w14:paraId="009EBB39" w14:textId="4DBCC669" w:rsidR="00D1340E" w:rsidRDefault="00D1340E" w:rsidP="00BE6193">
            <w:pPr>
              <w:spacing w:after="0"/>
            </w:pPr>
            <w:r>
              <w:t>Should Read:</w:t>
            </w:r>
          </w:p>
          <w:p w14:paraId="64811820" w14:textId="3D0A5E80" w:rsidR="00D1340E" w:rsidRDefault="00D1340E" w:rsidP="00671CD8">
            <w:pPr>
              <w:spacing w:after="0"/>
            </w:pPr>
            <w:r>
              <w:t xml:space="preserve">You can override the high and low memory values by adding the </w:t>
            </w:r>
            <w:proofErr w:type="spellStart"/>
            <w:r>
              <w:t>LowMemoryThreshold</w:t>
            </w:r>
            <w:proofErr w:type="spellEnd"/>
            <w:r>
              <w:t xml:space="preserve"> or </w:t>
            </w:r>
            <w:proofErr w:type="spellStart"/>
            <w:r>
              <w:t>HighMemoryThreshold</w:t>
            </w:r>
            <w:proofErr w:type="spellEnd"/>
            <w:r>
              <w:t xml:space="preserve"> DWORD registry value under </w:t>
            </w:r>
            <w:r w:rsidRPr="00671CD8">
              <w:rPr>
                <w:highlight w:val="yellow"/>
              </w:rPr>
              <w:t>HKLM\SYSTEM\</w:t>
            </w:r>
            <w:proofErr w:type="spellStart"/>
            <w:r w:rsidRPr="00671CD8">
              <w:rPr>
                <w:highlight w:val="yellow"/>
              </w:rPr>
              <w:t>CurrentControlSet</w:t>
            </w:r>
            <w:proofErr w:type="spellEnd"/>
            <w:r w:rsidRPr="00671CD8">
              <w:rPr>
                <w:highlight w:val="yellow"/>
              </w:rPr>
              <w:t>\Control\Session Manager\Memory Management</w:t>
            </w:r>
          </w:p>
        </w:tc>
      </w:tr>
      <w:tr w:rsidR="00D1340E" w:rsidRPr="00F47C0D" w14:paraId="12471502" w14:textId="250B7205" w:rsidTr="00D1340E">
        <w:trPr>
          <w:trHeight w:val="1565"/>
        </w:trPr>
        <w:tc>
          <w:tcPr>
            <w:tcW w:w="704" w:type="dxa"/>
          </w:tcPr>
          <w:p w14:paraId="3021FAF4" w14:textId="77777777" w:rsidR="00D1340E" w:rsidRDefault="00D1340E" w:rsidP="00BE6193">
            <w:pPr>
              <w:spacing w:after="0"/>
            </w:pPr>
            <w:r>
              <w:lastRenderedPageBreak/>
              <w:t>509</w:t>
            </w:r>
          </w:p>
        </w:tc>
        <w:tc>
          <w:tcPr>
            <w:tcW w:w="13511" w:type="dxa"/>
            <w:shd w:val="clear" w:color="auto" w:fill="auto"/>
            <w:noWrap/>
          </w:tcPr>
          <w:p w14:paraId="480F5262" w14:textId="5E37C518" w:rsidR="00D1340E" w:rsidRDefault="00D1340E" w:rsidP="00BE6193">
            <w:pPr>
              <w:spacing w:after="0"/>
            </w:pPr>
            <w:r>
              <w:t>Location on page: first paragraph</w:t>
            </w:r>
          </w:p>
          <w:p w14:paraId="7013240E" w14:textId="4F447766" w:rsidR="00D1340E" w:rsidRDefault="00D1340E" w:rsidP="00BE6193">
            <w:pPr>
              <w:spacing w:after="0"/>
            </w:pPr>
            <w:r>
              <w:t>Reads:</w:t>
            </w:r>
          </w:p>
          <w:p w14:paraId="2DDD1504" w14:textId="63B8E1AF" w:rsidR="00D1340E" w:rsidRDefault="00D1340E" w:rsidP="00BE6193">
            <w:pPr>
              <w:spacing w:after="0"/>
            </w:pPr>
            <w:r>
              <w:t>The following command reports information on the highlighted handle (</w:t>
            </w:r>
            <w:r w:rsidRPr="001E53CE">
              <w:rPr>
                <w:highlight w:val="yellow"/>
              </w:rPr>
              <w:t>handle value 0xD4</w:t>
            </w:r>
            <w:r>
              <w:t>) in the preceding screenshot, which is in the Dwm.exe process that has a process ID of 452 decimal:</w:t>
            </w:r>
          </w:p>
          <w:p w14:paraId="54852586" w14:textId="18267E14" w:rsidR="00D1340E" w:rsidRDefault="00D1340E" w:rsidP="00BE6193">
            <w:pPr>
              <w:spacing w:after="0"/>
            </w:pPr>
            <w:r>
              <w:t>Should read:</w:t>
            </w:r>
          </w:p>
          <w:p w14:paraId="35F1A4AB" w14:textId="088B5141" w:rsidR="00D1340E" w:rsidRDefault="00D1340E" w:rsidP="00BE6193">
            <w:pPr>
              <w:spacing w:after="0"/>
            </w:pPr>
            <w:r>
              <w:t>The following command reports information on the highlighted handle (</w:t>
            </w:r>
            <w:r w:rsidRPr="001E53CE">
              <w:rPr>
                <w:highlight w:val="yellow"/>
              </w:rPr>
              <w:t>handle value 0x348</w:t>
            </w:r>
            <w:r>
              <w:t>) in the preceding screenshot, which is in the Dwm.exe process that has a process ID of 452 decimal:</w:t>
            </w:r>
          </w:p>
        </w:tc>
      </w:tr>
      <w:tr w:rsidR="00D1340E" w:rsidRPr="00F47C0D" w14:paraId="74402476" w14:textId="0804D776" w:rsidTr="00D1340E">
        <w:trPr>
          <w:trHeight w:val="1565"/>
        </w:trPr>
        <w:tc>
          <w:tcPr>
            <w:tcW w:w="704" w:type="dxa"/>
          </w:tcPr>
          <w:p w14:paraId="4BFD9BE2" w14:textId="77777777" w:rsidR="00D1340E" w:rsidRDefault="00D1340E" w:rsidP="00BE6193">
            <w:pPr>
              <w:spacing w:after="0" w:line="240" w:lineRule="auto"/>
            </w:pPr>
            <w:r>
              <w:t>551</w:t>
            </w:r>
          </w:p>
        </w:tc>
        <w:tc>
          <w:tcPr>
            <w:tcW w:w="13511" w:type="dxa"/>
            <w:shd w:val="clear" w:color="auto" w:fill="auto"/>
            <w:noWrap/>
          </w:tcPr>
          <w:p w14:paraId="4398D220" w14:textId="1C911039" w:rsidR="00D1340E" w:rsidRDefault="00D1340E" w:rsidP="00BE6193">
            <w:pPr>
              <w:spacing w:after="0" w:line="240" w:lineRule="auto"/>
            </w:pPr>
            <w:r>
              <w:t>Location on page:  bottom</w:t>
            </w:r>
          </w:p>
          <w:p w14:paraId="20B694CE" w14:textId="77777777" w:rsidR="00D1340E" w:rsidRDefault="00D1340E" w:rsidP="00BE6193">
            <w:pPr>
              <w:spacing w:after="0" w:line="240" w:lineRule="auto"/>
            </w:pPr>
          </w:p>
          <w:p w14:paraId="3B1F9C90" w14:textId="77777777" w:rsidR="00D1340E" w:rsidRDefault="00D1340E" w:rsidP="00BE6193">
            <w:pPr>
              <w:spacing w:after="0" w:line="240" w:lineRule="auto"/>
            </w:pPr>
            <w:r>
              <w:t>Bullet #4</w:t>
            </w:r>
          </w:p>
          <w:p w14:paraId="3AC9061D" w14:textId="77777777" w:rsidR="00D1340E" w:rsidRDefault="00D1340E" w:rsidP="00BE6193">
            <w:pPr>
              <w:spacing w:after="0" w:line="240" w:lineRule="auto"/>
            </w:pPr>
          </w:p>
          <w:p w14:paraId="5729D1BC" w14:textId="77777777" w:rsidR="00D1340E" w:rsidRDefault="00D1340E" w:rsidP="00BE6193">
            <w:pPr>
              <w:spacing w:after="0" w:line="240" w:lineRule="auto"/>
            </w:pPr>
            <w:r>
              <w:t>Reads:</w:t>
            </w:r>
          </w:p>
          <w:p w14:paraId="32D7CB1B" w14:textId="1FC8B1B1" w:rsidR="00D1340E" w:rsidRDefault="00D1340E" w:rsidP="00BE6193">
            <w:pPr>
              <w:spacing w:after="0" w:line="240" w:lineRule="auto"/>
            </w:pPr>
            <w:r w:rsidRPr="00D10D7F">
              <w:rPr>
                <w:rFonts w:ascii="Arial" w:hAnsi="Arial" w:cs="Arial"/>
              </w:rPr>
              <w:t>■</w:t>
            </w:r>
            <w:r w:rsidRPr="00D10D7F">
              <w:t xml:space="preserve"> </w:t>
            </w:r>
            <w:proofErr w:type="spellStart"/>
            <w:r w:rsidRPr="00D10D7F">
              <w:t>IoPagingReadLowPriorityBumpedCount</w:t>
            </w:r>
            <w:proofErr w:type="spellEnd"/>
            <w:r w:rsidRPr="00D10D7F">
              <w:t xml:space="preserve"> and </w:t>
            </w:r>
            <w:proofErr w:type="spellStart"/>
            <w:r w:rsidRPr="00D10D7F">
              <w:rPr>
                <w:highlight w:val="yellow"/>
              </w:rPr>
              <w:t>IoPagingWriteHighPriorityBumpedCount</w:t>
            </w:r>
            <w:proofErr w:type="spellEnd"/>
          </w:p>
          <w:p w14:paraId="7155922A" w14:textId="7AD53E4E" w:rsidR="00D1340E" w:rsidRDefault="00D1340E" w:rsidP="00BE6193">
            <w:pPr>
              <w:spacing w:after="0" w:line="240" w:lineRule="auto"/>
            </w:pPr>
          </w:p>
          <w:p w14:paraId="61C429A6" w14:textId="70549567" w:rsidR="00D1340E" w:rsidRDefault="00D1340E" w:rsidP="00BE6193">
            <w:pPr>
              <w:spacing w:after="0" w:line="240" w:lineRule="auto"/>
            </w:pPr>
            <w:r>
              <w:t>Should read:</w:t>
            </w:r>
          </w:p>
          <w:p w14:paraId="1F807F9F" w14:textId="537D0EDC" w:rsidR="00D1340E" w:rsidRDefault="00D1340E" w:rsidP="00D10D7F">
            <w:pPr>
              <w:spacing w:after="0" w:line="240" w:lineRule="auto"/>
            </w:pPr>
            <w:r w:rsidRPr="00D10D7F">
              <w:rPr>
                <w:rFonts w:ascii="Arial" w:hAnsi="Arial" w:cs="Arial"/>
              </w:rPr>
              <w:t>■</w:t>
            </w:r>
            <w:r w:rsidRPr="00D10D7F">
              <w:t xml:space="preserve"> </w:t>
            </w:r>
            <w:proofErr w:type="spellStart"/>
            <w:r w:rsidRPr="00D10D7F">
              <w:t>IoPagingReadLowPriorityBumpedCount</w:t>
            </w:r>
            <w:proofErr w:type="spellEnd"/>
            <w:r w:rsidRPr="00D10D7F">
              <w:t xml:space="preserve"> and </w:t>
            </w:r>
            <w:proofErr w:type="spellStart"/>
            <w:r w:rsidRPr="00D10D7F">
              <w:rPr>
                <w:highlight w:val="yellow"/>
              </w:rPr>
              <w:t>IoPagingWriteLowPriorityBumpedCount</w:t>
            </w:r>
            <w:proofErr w:type="spellEnd"/>
          </w:p>
          <w:p w14:paraId="5B5202BE" w14:textId="51BE6E22" w:rsidR="00D1340E" w:rsidRDefault="00D1340E" w:rsidP="00BE6193">
            <w:pPr>
              <w:spacing w:after="0" w:line="240" w:lineRule="auto"/>
            </w:pPr>
          </w:p>
        </w:tc>
      </w:tr>
      <w:tr w:rsidR="00D1340E" w:rsidRPr="00F47C0D" w14:paraId="2A8AB3A9" w14:textId="3F5CC8F6" w:rsidTr="00D1340E">
        <w:trPr>
          <w:trHeight w:val="397"/>
        </w:trPr>
        <w:tc>
          <w:tcPr>
            <w:tcW w:w="704" w:type="dxa"/>
          </w:tcPr>
          <w:p w14:paraId="5BC3C338" w14:textId="77777777" w:rsidR="00D1340E" w:rsidRDefault="00D1340E" w:rsidP="00BE6193">
            <w:pPr>
              <w:spacing w:after="0" w:line="240" w:lineRule="auto"/>
            </w:pPr>
            <w:r>
              <w:t>600</w:t>
            </w:r>
          </w:p>
        </w:tc>
        <w:tc>
          <w:tcPr>
            <w:tcW w:w="13511" w:type="dxa"/>
            <w:shd w:val="clear" w:color="auto" w:fill="auto"/>
            <w:noWrap/>
          </w:tcPr>
          <w:p w14:paraId="1E331E81" w14:textId="042820C5" w:rsidR="00D1340E" w:rsidRDefault="00D1340E" w:rsidP="00BE6193">
            <w:pPr>
              <w:spacing w:after="0" w:line="240" w:lineRule="auto"/>
            </w:pPr>
            <w:r>
              <w:t xml:space="preserve">Location on page: </w:t>
            </w:r>
            <w:proofErr w:type="spellStart"/>
            <w:r>
              <w:t>bottum</w:t>
            </w:r>
            <w:proofErr w:type="spellEnd"/>
            <w:r>
              <w:br/>
            </w:r>
          </w:p>
          <w:p w14:paraId="176BA908" w14:textId="342CC89D" w:rsidR="00D1340E" w:rsidRDefault="00D1340E" w:rsidP="00BE6193">
            <w:pPr>
              <w:spacing w:after="0" w:line="240" w:lineRule="auto"/>
            </w:pPr>
            <w:r>
              <w:t>Reads:</w:t>
            </w:r>
          </w:p>
          <w:p w14:paraId="5417CD7D" w14:textId="03802915" w:rsidR="00D1340E" w:rsidRDefault="00D1340E" w:rsidP="005351AC">
            <w:pPr>
              <w:spacing w:after="0" w:line="240" w:lineRule="auto"/>
            </w:pPr>
            <w:r>
              <w:t xml:space="preserve">When a driver decides that a component should change performance state, it calls </w:t>
            </w:r>
            <w:proofErr w:type="spellStart"/>
            <w:r w:rsidRPr="005351AC">
              <w:rPr>
                <w:highlight w:val="yellow"/>
              </w:rPr>
              <w:t>PoFxIssuePerfStateChange</w:t>
            </w:r>
            <w:proofErr w:type="spellEnd"/>
            <w:r w:rsidRPr="005351AC">
              <w:rPr>
                <w:highlight w:val="yellow"/>
              </w:rPr>
              <w:t xml:space="preserve"> or </w:t>
            </w:r>
            <w:proofErr w:type="spellStart"/>
            <w:r w:rsidRPr="005351AC">
              <w:rPr>
                <w:highlight w:val="yellow"/>
              </w:rPr>
              <w:t>PoFxIssuePerfStateChangeMultiple</w:t>
            </w:r>
            <w:proofErr w:type="spellEnd"/>
            <w:r w:rsidRPr="005351AC">
              <w:rPr>
                <w:highlight w:val="yellow"/>
              </w:rPr>
              <w:t>.</w:t>
            </w:r>
            <w:r>
              <w:t xml:space="preserve"> </w:t>
            </w:r>
          </w:p>
          <w:p w14:paraId="32D5F1FE" w14:textId="77777777" w:rsidR="00D1340E" w:rsidRDefault="00D1340E" w:rsidP="005351AC">
            <w:pPr>
              <w:spacing w:after="0" w:line="240" w:lineRule="auto"/>
            </w:pPr>
          </w:p>
          <w:p w14:paraId="217BBB29" w14:textId="77777777" w:rsidR="00D1340E" w:rsidRDefault="00D1340E" w:rsidP="005351AC">
            <w:pPr>
              <w:spacing w:after="0" w:line="240" w:lineRule="auto"/>
            </w:pPr>
            <w:r>
              <w:t>Should read:</w:t>
            </w:r>
          </w:p>
          <w:p w14:paraId="00251B08" w14:textId="5912805B" w:rsidR="00D1340E" w:rsidRPr="00C8733A" w:rsidRDefault="00D1340E" w:rsidP="00535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t>When a driver decides that a component should change performance state, it calls</w:t>
            </w:r>
            <w:r>
              <w:t xml:space="preserve"> </w:t>
            </w:r>
            <w:proofErr w:type="spellStart"/>
            <w:r w:rsidRPr="005351AC">
              <w:rPr>
                <w:highlight w:val="yellow"/>
              </w:rPr>
              <w:t>PoFxIssueComponentPerfStateChange</w:t>
            </w:r>
            <w:proofErr w:type="spellEnd"/>
            <w:r w:rsidRPr="005351AC">
              <w:rPr>
                <w:highlight w:val="yellow"/>
              </w:rPr>
              <w:t xml:space="preserve"> or </w:t>
            </w:r>
            <w:proofErr w:type="spellStart"/>
            <w:r w:rsidRPr="005351AC">
              <w:rPr>
                <w:highlight w:val="yellow"/>
              </w:rPr>
              <w:t>PoFxIssueComponentPerfStateChangeMultiple</w:t>
            </w:r>
            <w:proofErr w:type="spellEnd"/>
            <w:r>
              <w:rPr>
                <w:highlight w:val="yellow"/>
              </w:rPr>
              <w:t>.</w:t>
            </w:r>
          </w:p>
        </w:tc>
      </w:tr>
      <w:tr w:rsidR="00D1340E" w:rsidRPr="00F47C0D" w14:paraId="3FA4DCAF" w14:textId="527680F4" w:rsidTr="00D1340E">
        <w:trPr>
          <w:trHeight w:val="1565"/>
        </w:trPr>
        <w:tc>
          <w:tcPr>
            <w:tcW w:w="704" w:type="dxa"/>
          </w:tcPr>
          <w:p w14:paraId="261B2540" w14:textId="77777777" w:rsidR="00D1340E" w:rsidRDefault="00D1340E" w:rsidP="00BE6193">
            <w:pPr>
              <w:spacing w:after="0"/>
            </w:pPr>
            <w:r>
              <w:t>734</w:t>
            </w:r>
          </w:p>
        </w:tc>
        <w:tc>
          <w:tcPr>
            <w:tcW w:w="13511" w:type="dxa"/>
            <w:shd w:val="clear" w:color="auto" w:fill="auto"/>
            <w:noWrap/>
          </w:tcPr>
          <w:p w14:paraId="3C3EB8FD" w14:textId="0007F7AA" w:rsidR="00D1340E" w:rsidRPr="004818AF" w:rsidRDefault="00D1340E" w:rsidP="00BE6193">
            <w:pPr>
              <w:spacing w:after="0"/>
            </w:pPr>
            <w:bookmarkStart w:id="0" w:name="_GoBack"/>
            <w:bookmarkEnd w:id="0"/>
            <w:r w:rsidRPr="005D674F">
              <w:t>Location on page: Table 7-18 and first paragraph</w:t>
            </w:r>
            <w:r w:rsidRPr="005D674F">
              <w:br/>
              <w:t>Description of error: Beginning in Windows 8, the UAC slider doesn't turn off UAC completely anymore.</w:t>
            </w:r>
            <w:r w:rsidRPr="004818AF">
              <w:t xml:space="preserve"> </w:t>
            </w:r>
          </w:p>
          <w:p w14:paraId="5E86B669" w14:textId="29A3AAE9" w:rsidR="00D1340E" w:rsidRDefault="00D1340E" w:rsidP="00BE6193">
            <w:pPr>
              <w:spacing w:after="0"/>
            </w:pPr>
            <w:r w:rsidRPr="004818AF">
              <w:t xml:space="preserve">Turning off UAC is no longer supportable with the new </w:t>
            </w:r>
            <w:proofErr w:type="spellStart"/>
            <w:r w:rsidRPr="004818AF">
              <w:t>AppContainer</w:t>
            </w:r>
            <w:proofErr w:type="spellEnd"/>
            <w:r w:rsidRPr="004818AF">
              <w:t xml:space="preserve"> model, so the slider won't do that.</w:t>
            </w:r>
          </w:p>
          <w:p w14:paraId="06E07B06" w14:textId="6CDC4881" w:rsidR="00D1340E" w:rsidRDefault="00D1340E" w:rsidP="00BE6193">
            <w:pPr>
              <w:spacing w:after="0"/>
            </w:pPr>
          </w:p>
          <w:p w14:paraId="59D666F6" w14:textId="2B906AA3" w:rsidR="00D1340E" w:rsidRDefault="00D1340E" w:rsidP="00BE6193">
            <w:pPr>
              <w:spacing w:after="0"/>
            </w:pPr>
            <w:r>
              <w:t>Reads:</w:t>
            </w:r>
          </w:p>
          <w:p w14:paraId="06582822" w14:textId="77777777" w:rsidR="00D1340E" w:rsidRDefault="00D1340E" w:rsidP="00F50BE8">
            <w:pPr>
              <w:spacing w:after="0"/>
            </w:pPr>
            <w:r>
              <w:t>The lowest position is strongly discouraged because it turns UAC off completely as far as administrative</w:t>
            </w:r>
          </w:p>
          <w:p w14:paraId="7F084969" w14:textId="77777777" w:rsidR="00D1340E" w:rsidRDefault="00D1340E" w:rsidP="00F50BE8">
            <w:pPr>
              <w:spacing w:after="0"/>
            </w:pPr>
            <w:r>
              <w:t>accounts are concerned. All processes run by a user with an administrative account will be run with</w:t>
            </w:r>
          </w:p>
          <w:p w14:paraId="7BF52FA9" w14:textId="77777777" w:rsidR="00D1340E" w:rsidRDefault="00D1340E" w:rsidP="00F50BE8">
            <w:pPr>
              <w:spacing w:after="0"/>
            </w:pPr>
            <w:r>
              <w:t>the user’s full administrative rights in effect; there is no filtered admin token. Registry and file system</w:t>
            </w:r>
          </w:p>
          <w:p w14:paraId="0832639A" w14:textId="77777777" w:rsidR="00D1340E" w:rsidRDefault="00D1340E" w:rsidP="00F50BE8">
            <w:pPr>
              <w:spacing w:after="0"/>
            </w:pPr>
            <w:r>
              <w:t xml:space="preserve">virtualization </w:t>
            </w:r>
            <w:proofErr w:type="gramStart"/>
            <w:r>
              <w:t>are</w:t>
            </w:r>
            <w:proofErr w:type="gramEnd"/>
            <w:r>
              <w:t xml:space="preserve"> disabled as well for these accounts, and the Protected mode of Internet Explorer is</w:t>
            </w:r>
          </w:p>
          <w:p w14:paraId="1023D281" w14:textId="77777777" w:rsidR="00D1340E" w:rsidRDefault="00D1340E" w:rsidP="00F50BE8">
            <w:pPr>
              <w:spacing w:after="0"/>
            </w:pPr>
            <w:r>
              <w:t>disabled. However, virtualization is still in effect for non-administrative accounts, and non-administrative</w:t>
            </w:r>
          </w:p>
          <w:p w14:paraId="494F643F" w14:textId="77777777" w:rsidR="00D1340E" w:rsidRDefault="00D1340E" w:rsidP="00F50BE8">
            <w:pPr>
              <w:spacing w:after="0"/>
            </w:pPr>
            <w:r>
              <w:t>accounts will still see an OTS elevation prompt when they attempt to change Windows settings, run a</w:t>
            </w:r>
          </w:p>
          <w:p w14:paraId="5E57B57F" w14:textId="0A14A0D2" w:rsidR="00D1340E" w:rsidRDefault="00D1340E" w:rsidP="00F50BE8">
            <w:pPr>
              <w:spacing w:after="0"/>
            </w:pPr>
            <w:r>
              <w:lastRenderedPageBreak/>
              <w:t xml:space="preserve">program that requires </w:t>
            </w:r>
            <w:proofErr w:type="gramStart"/>
            <w:r>
              <w:t>elevation, or</w:t>
            </w:r>
            <w:proofErr w:type="gramEnd"/>
            <w:r>
              <w:t xml:space="preserve"> use the Run as Administrator context menu option in Explorer</w:t>
            </w:r>
            <w:r>
              <w:t>.</w:t>
            </w:r>
          </w:p>
          <w:p w14:paraId="299073D0" w14:textId="77777777" w:rsidR="00D1340E" w:rsidRDefault="00D1340E" w:rsidP="00BE6193">
            <w:pPr>
              <w:spacing w:after="0"/>
            </w:pPr>
          </w:p>
          <w:p w14:paraId="0E4CADC4" w14:textId="347C8BE6" w:rsidR="00D1340E" w:rsidRDefault="00D1340E" w:rsidP="00BE6193">
            <w:pPr>
              <w:spacing w:after="0"/>
            </w:pPr>
            <w:r>
              <w:t>Should read: (replace entire paragraph)</w:t>
            </w:r>
          </w:p>
          <w:p w14:paraId="61AD1D36" w14:textId="77777777" w:rsidR="00D1340E" w:rsidRDefault="00D1340E" w:rsidP="00F50BE8">
            <w:pPr>
              <w:spacing w:after="0"/>
            </w:pPr>
            <w:r>
              <w:t>The lowest position is strongly discouraged because it turns UAC off completely as far as administrative</w:t>
            </w:r>
          </w:p>
          <w:p w14:paraId="4946992D" w14:textId="77777777" w:rsidR="00D1340E" w:rsidRDefault="00D1340E" w:rsidP="00F50BE8">
            <w:pPr>
              <w:spacing w:after="0"/>
            </w:pPr>
            <w:r>
              <w:t>accounts are concerned. Prior to Windows 8, all processes run by a user with an administrative account are run with</w:t>
            </w:r>
          </w:p>
          <w:p w14:paraId="77171668" w14:textId="77777777" w:rsidR="00D1340E" w:rsidRDefault="00D1340E" w:rsidP="00F50BE8">
            <w:pPr>
              <w:spacing w:after="0"/>
            </w:pPr>
            <w:r>
              <w:t xml:space="preserve">the user’s full administrative rights in effect; there is no filtered admin token. Starting with Windows 8, UAC cannot be turned off completely, because of the </w:t>
            </w:r>
            <w:proofErr w:type="spellStart"/>
            <w:r>
              <w:t>AppContainer</w:t>
            </w:r>
            <w:proofErr w:type="spellEnd"/>
            <w:r>
              <w:t xml:space="preserve"> model. Admin users won’t be prompted for elevation, but processes will not elevate unless required to do so by the manifest or launched from an elevated process.</w:t>
            </w:r>
          </w:p>
          <w:p w14:paraId="5428E34D" w14:textId="1EAD3D58" w:rsidR="00D1340E" w:rsidRPr="004818AF" w:rsidRDefault="00D1340E" w:rsidP="00F50BE8">
            <w:pPr>
              <w:spacing w:after="0"/>
            </w:pPr>
          </w:p>
        </w:tc>
      </w:tr>
    </w:tbl>
    <w:p w14:paraId="3582B66A" w14:textId="77777777" w:rsidR="00C8733A" w:rsidRDefault="00C8733A" w:rsidP="00BE6193">
      <w:pPr>
        <w:spacing w:after="0"/>
      </w:pPr>
    </w:p>
    <w:sectPr w:rsidR="00C8733A" w:rsidSect="00C873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F1406" w14:textId="77777777" w:rsidR="005868C9" w:rsidRDefault="005868C9" w:rsidP="00C8733A">
      <w:pPr>
        <w:spacing w:after="0" w:line="240" w:lineRule="auto"/>
      </w:pPr>
      <w:r>
        <w:separator/>
      </w:r>
    </w:p>
  </w:endnote>
  <w:endnote w:type="continuationSeparator" w:id="0">
    <w:p w14:paraId="2B1B64FA" w14:textId="77777777" w:rsidR="005868C9" w:rsidRDefault="005868C9" w:rsidP="00C8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D0240" w14:textId="77777777" w:rsidR="000E25B0" w:rsidRDefault="000E25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B094F" w14:textId="77777777" w:rsidR="000E25B0" w:rsidRDefault="000E25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960FE" w14:textId="77777777" w:rsidR="000E25B0" w:rsidRDefault="000E2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55CB0" w14:textId="77777777" w:rsidR="005868C9" w:rsidRDefault="005868C9" w:rsidP="00C8733A">
      <w:pPr>
        <w:spacing w:after="0" w:line="240" w:lineRule="auto"/>
      </w:pPr>
      <w:r>
        <w:separator/>
      </w:r>
    </w:p>
  </w:footnote>
  <w:footnote w:type="continuationSeparator" w:id="0">
    <w:p w14:paraId="1F82CFF1" w14:textId="77777777" w:rsidR="005868C9" w:rsidRDefault="005868C9" w:rsidP="00C8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48A5" w14:textId="77777777" w:rsidR="000E25B0" w:rsidRDefault="000E25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C4C5" w14:textId="77777777" w:rsidR="000E25B0" w:rsidRDefault="000E25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4F08" w14:textId="77777777" w:rsidR="000E25B0" w:rsidRDefault="000E25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3A"/>
    <w:rsid w:val="000032E1"/>
    <w:rsid w:val="00035348"/>
    <w:rsid w:val="000745FC"/>
    <w:rsid w:val="000D540C"/>
    <w:rsid w:val="000E25B0"/>
    <w:rsid w:val="001415A7"/>
    <w:rsid w:val="001C291E"/>
    <w:rsid w:val="001E53CE"/>
    <w:rsid w:val="00233F18"/>
    <w:rsid w:val="00273D39"/>
    <w:rsid w:val="00285317"/>
    <w:rsid w:val="002910FC"/>
    <w:rsid w:val="002C0C9B"/>
    <w:rsid w:val="002C28D7"/>
    <w:rsid w:val="002F4A8C"/>
    <w:rsid w:val="00302F55"/>
    <w:rsid w:val="00314F8D"/>
    <w:rsid w:val="00317377"/>
    <w:rsid w:val="003A5FAB"/>
    <w:rsid w:val="004655E8"/>
    <w:rsid w:val="00477CED"/>
    <w:rsid w:val="004818AF"/>
    <w:rsid w:val="00482D72"/>
    <w:rsid w:val="004845AE"/>
    <w:rsid w:val="005351AC"/>
    <w:rsid w:val="0057479F"/>
    <w:rsid w:val="005868C9"/>
    <w:rsid w:val="005D674F"/>
    <w:rsid w:val="005F0EB2"/>
    <w:rsid w:val="0063726B"/>
    <w:rsid w:val="00664F30"/>
    <w:rsid w:val="00671CD8"/>
    <w:rsid w:val="00684F0D"/>
    <w:rsid w:val="0074641E"/>
    <w:rsid w:val="007C1CCD"/>
    <w:rsid w:val="007D6B3E"/>
    <w:rsid w:val="00925FD9"/>
    <w:rsid w:val="0095345E"/>
    <w:rsid w:val="009E452E"/>
    <w:rsid w:val="00A25CAA"/>
    <w:rsid w:val="00A36209"/>
    <w:rsid w:val="00AD2EC8"/>
    <w:rsid w:val="00B35BEF"/>
    <w:rsid w:val="00B6450B"/>
    <w:rsid w:val="00BB5C97"/>
    <w:rsid w:val="00BE6193"/>
    <w:rsid w:val="00BF5BE0"/>
    <w:rsid w:val="00C56A66"/>
    <w:rsid w:val="00C77CB2"/>
    <w:rsid w:val="00C8733A"/>
    <w:rsid w:val="00CA53F7"/>
    <w:rsid w:val="00D10D7F"/>
    <w:rsid w:val="00D1340E"/>
    <w:rsid w:val="00D6732E"/>
    <w:rsid w:val="00DD2437"/>
    <w:rsid w:val="00F23EE8"/>
    <w:rsid w:val="00F32636"/>
    <w:rsid w:val="00F47C0D"/>
    <w:rsid w:val="00F50BE8"/>
    <w:rsid w:val="00F94F01"/>
    <w:rsid w:val="00FA10B5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478F1"/>
  <w15:chartTrackingRefBased/>
  <w15:docId w15:val="{BE8A8C67-7C98-4EE8-888D-E8565A4C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33A"/>
  </w:style>
  <w:style w:type="paragraph" w:styleId="Footer">
    <w:name w:val="footer"/>
    <w:basedOn w:val="Normal"/>
    <w:link w:val="FooterChar"/>
    <w:uiPriority w:val="99"/>
    <w:unhideWhenUsed/>
    <w:rsid w:val="00C87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33A"/>
  </w:style>
  <w:style w:type="character" w:styleId="Hyperlink">
    <w:name w:val="Hyperlink"/>
    <w:basedOn w:val="DefaultParagraphFont"/>
    <w:uiPriority w:val="99"/>
    <w:semiHidden/>
    <w:unhideWhenUsed/>
    <w:rsid w:val="00F47C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8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Spilker</dc:creator>
  <cp:keywords/>
  <dc:description/>
  <cp:lastModifiedBy>Kim Spilker</cp:lastModifiedBy>
  <cp:revision>4</cp:revision>
  <dcterms:created xsi:type="dcterms:W3CDTF">2018-01-17T01:07:00Z</dcterms:created>
  <dcterms:modified xsi:type="dcterms:W3CDTF">2018-01-17T01:14:00Z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kispilke@microsoft.com</vt:lpwstr>
  </property>
  <property fmtid="{D5CDD505-2E9C-101B-9397-08002B2CF9AE}" pid="5" name="MSIP_Label_f42aa342-8706-4288-bd11-ebb85995028c_SetDate">
    <vt:lpwstr>2017-12-29T23:17:21.9958209Z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