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86241" w:rsidRDefault="00162E5E">
      <w:pPr>
        <w:pStyle w:val="Title"/>
      </w:pPr>
      <w:bookmarkStart w:id="0" w:name="_cpifbcn0plk" w:colFirst="0" w:colLast="0"/>
      <w:bookmarkEnd w:id="0"/>
      <w:r>
        <w:rPr>
          <w:i/>
        </w:rPr>
        <w:t>Deep Learning Illustrated</w:t>
      </w:r>
      <w:r>
        <w:t xml:space="preserve"> Errata</w:t>
      </w:r>
    </w:p>
    <w:p w14:paraId="00000002" w14:textId="77777777" w:rsidR="00286241" w:rsidRDefault="00162E5E">
      <w:pPr>
        <w:pStyle w:val="Subtitle"/>
        <w:rPr>
          <w:i/>
        </w:rPr>
      </w:pPr>
      <w:bookmarkStart w:id="1" w:name="_qedhoud0ss73" w:colFirst="0" w:colLast="0"/>
      <w:bookmarkEnd w:id="1"/>
      <w:r>
        <w:t>“To err and err and err again, but less and less and less.” ~ Piet Hien</w:t>
      </w:r>
    </w:p>
    <w:p w14:paraId="00000003" w14:textId="77777777" w:rsidR="00286241" w:rsidRDefault="00162E5E">
      <w:r>
        <w:rPr>
          <w:i/>
        </w:rPr>
        <w:t xml:space="preserve">Most recently updated by </w:t>
      </w:r>
      <w:hyperlink r:id="rId5">
        <w:r>
          <w:rPr>
            <w:i/>
            <w:color w:val="1155CC"/>
            <w:u w:val="single"/>
          </w:rPr>
          <w:t xml:space="preserve">Jon </w:t>
        </w:r>
        <w:proofErr w:type="spellStart"/>
        <w:r>
          <w:rPr>
            <w:i/>
            <w:color w:val="1155CC"/>
            <w:u w:val="single"/>
          </w:rPr>
          <w:t>Krohn</w:t>
        </w:r>
        <w:proofErr w:type="spellEnd"/>
      </w:hyperlink>
      <w:r>
        <w:rPr>
          <w:i/>
        </w:rPr>
        <w:t xml:space="preserve"> on June 15, 2020.</w:t>
      </w:r>
    </w:p>
    <w:p w14:paraId="3C979623" w14:textId="43BBCDAA" w:rsidR="00162E5E" w:rsidRDefault="00162E5E">
      <w:pPr>
        <w:rPr>
          <w:color w:val="980000"/>
        </w:rPr>
      </w:pPr>
      <w:r>
        <w:rPr>
          <w:color w:val="980000"/>
        </w:rPr>
        <w:t xml:space="preserve">Submit new prospective errata by emailing </w:t>
      </w:r>
      <w:proofErr w:type="spellStart"/>
      <w:r>
        <w:rPr>
          <w:color w:val="980000"/>
        </w:rPr>
        <w:t>jon</w:t>
      </w:r>
      <w:proofErr w:type="spellEnd"/>
      <w:r>
        <w:rPr>
          <w:color w:val="980000"/>
        </w:rPr>
        <w:t xml:space="preserve"> AT jonkrohn.com.</w:t>
      </w:r>
    </w:p>
    <w:p w14:paraId="52B65970" w14:textId="0D035444" w:rsidR="00162E5E" w:rsidRPr="00162E5E" w:rsidRDefault="00162E5E" w:rsidP="00162E5E">
      <w:pPr>
        <w:pStyle w:val="Heading2"/>
        <w:rPr>
          <w:b/>
          <w:bCs/>
        </w:rPr>
      </w:pPr>
      <w:r w:rsidRPr="00162E5E">
        <w:rPr>
          <w:b/>
          <w:bCs/>
        </w:rPr>
        <w:t xml:space="preserve">Corrections to the </w:t>
      </w:r>
      <w:r w:rsidRPr="00162E5E">
        <w:rPr>
          <w:b/>
          <w:bCs/>
        </w:rPr>
        <w:t xml:space="preserve">second </w:t>
      </w:r>
      <w:r w:rsidRPr="00162E5E">
        <w:rPr>
          <w:b/>
          <w:bCs/>
        </w:rPr>
        <w:t>printing:</w:t>
      </w:r>
    </w:p>
    <w:p w14:paraId="2BDA10D0" w14:textId="77777777" w:rsidR="00162E5E" w:rsidRDefault="00162E5E" w:rsidP="00162E5E">
      <w:pPr>
        <w:pStyle w:val="Heading3"/>
      </w:pPr>
      <w:r>
        <w:t>Chapter 4</w:t>
      </w:r>
      <w:bookmarkStart w:id="2" w:name="_GoBack"/>
      <w:bookmarkEnd w:id="2"/>
    </w:p>
    <w:p w14:paraId="67C3CD4F" w14:textId="77777777" w:rsidR="00162E5E" w:rsidRDefault="00162E5E" w:rsidP="00162E5E">
      <w:pPr>
        <w:numPr>
          <w:ilvl w:val="0"/>
          <w:numId w:val="1"/>
        </w:numPr>
      </w:pPr>
      <w:r>
        <w:t xml:space="preserve">Page 56: “At long last, we reach the deep reinforcement learning section near the center of the Venn diagram in Figure </w:t>
      </w:r>
      <w:proofErr w:type="gramStart"/>
      <w:r>
        <w:t>4.3”...</w:t>
      </w:r>
      <w:proofErr w:type="gramEnd"/>
      <w:r>
        <w:t xml:space="preserve"> should read Figure 4.1. (Thanks to diligent reader Neil Caren for noticing this one!)</w:t>
      </w:r>
    </w:p>
    <w:p w14:paraId="1848798E" w14:textId="77777777" w:rsidR="00162E5E" w:rsidRDefault="00162E5E" w:rsidP="00162E5E">
      <w:pPr>
        <w:pStyle w:val="Heading3"/>
      </w:pPr>
      <w:r>
        <w:t>Chapter 9</w:t>
      </w:r>
    </w:p>
    <w:p w14:paraId="5E971CEF" w14:textId="77777777" w:rsidR="00162E5E" w:rsidRDefault="00162E5E" w:rsidP="00162E5E">
      <w:pPr>
        <w:numPr>
          <w:ilvl w:val="0"/>
          <w:numId w:val="9"/>
        </w:numPr>
      </w:pPr>
      <w:r>
        <w:t xml:space="preserve">Page 151 in the 10th line from the bottom: Remove “accuracy” from the phrase “there could be small accuracy gains”. (diligently spotted by </w:t>
      </w:r>
      <w:proofErr w:type="spellStart"/>
      <w:r>
        <w:t>Haesun</w:t>
      </w:r>
      <w:proofErr w:type="spellEnd"/>
      <w:r>
        <w:t xml:space="preserve"> Park, the translator of </w:t>
      </w:r>
      <w:r>
        <w:rPr>
          <w:i/>
        </w:rPr>
        <w:t>Deep Learning Illustrated</w:t>
      </w:r>
      <w:r>
        <w:t xml:space="preserve"> into Korean, who also spotted several errata later in the book)</w:t>
      </w:r>
    </w:p>
    <w:p w14:paraId="26656CA0" w14:textId="77777777" w:rsidR="00162E5E" w:rsidRDefault="00162E5E" w:rsidP="00162E5E">
      <w:pPr>
        <w:pStyle w:val="Heading3"/>
      </w:pPr>
      <w:r>
        <w:t>Chapter 11</w:t>
      </w:r>
    </w:p>
    <w:p w14:paraId="1C050A6C" w14:textId="77777777" w:rsidR="00162E5E" w:rsidRDefault="00162E5E" w:rsidP="00162E5E">
      <w:pPr>
        <w:numPr>
          <w:ilvl w:val="0"/>
          <w:numId w:val="5"/>
        </w:numPr>
      </w:pPr>
      <w:r>
        <w:t xml:space="preserve">On page 238: </w:t>
      </w:r>
    </w:p>
    <w:p w14:paraId="086D91FA" w14:textId="77777777" w:rsidR="00162E5E" w:rsidRDefault="00162E5E" w:rsidP="00162E5E">
      <w:pPr>
        <w:numPr>
          <w:ilvl w:val="1"/>
          <w:numId w:val="5"/>
        </w:numPr>
      </w:pPr>
      <w:r>
        <w:t>The third bullet should end with “...has a length of 398, corresponding to a 398 x 256 output shape”.</w:t>
      </w:r>
    </w:p>
    <w:p w14:paraId="6E85D4E5" w14:textId="77777777" w:rsidR="00162E5E" w:rsidRDefault="00162E5E" w:rsidP="00162E5E">
      <w:pPr>
        <w:numPr>
          <w:ilvl w:val="1"/>
          <w:numId w:val="5"/>
        </w:numPr>
      </w:pPr>
      <w:r>
        <w:t xml:space="preserve">The fifth bullet should likewise have its second sentence amended to </w:t>
      </w:r>
      <w:proofErr w:type="gramStart"/>
      <w:r>
        <w:t>say</w:t>
      </w:r>
      <w:proofErr w:type="gramEnd"/>
      <w:r>
        <w:t xml:space="preserve"> “squash the activation map from 398 x 256 to 1 x 256”.</w:t>
      </w:r>
    </w:p>
    <w:p w14:paraId="41C47732" w14:textId="77777777" w:rsidR="00162E5E" w:rsidRDefault="00162E5E" w:rsidP="00162E5E">
      <w:pPr>
        <w:numPr>
          <w:ilvl w:val="0"/>
          <w:numId w:val="5"/>
        </w:numPr>
      </w:pPr>
      <w:r>
        <w:t>On page 255, footnote 59 should read “The index goes up to only 5,049…”</w:t>
      </w:r>
    </w:p>
    <w:p w14:paraId="4AF87876" w14:textId="77777777" w:rsidR="00162E5E" w:rsidRDefault="00162E5E" w:rsidP="00162E5E">
      <w:pPr>
        <w:pStyle w:val="Heading3"/>
      </w:pPr>
      <w:r>
        <w:t>Chapter 12</w:t>
      </w:r>
    </w:p>
    <w:p w14:paraId="393232EA" w14:textId="77777777" w:rsidR="00162E5E" w:rsidRDefault="00162E5E" w:rsidP="00162E5E">
      <w:pPr>
        <w:numPr>
          <w:ilvl w:val="0"/>
          <w:numId w:val="6"/>
        </w:numPr>
      </w:pPr>
      <w:r>
        <w:t>On page 259, the second line under “Essential GAN Theory” should reference Figure 3.1 not Figure 3.4.</w:t>
      </w:r>
    </w:p>
    <w:p w14:paraId="55D81200" w14:textId="77777777" w:rsidR="00162E5E" w:rsidRDefault="00162E5E" w:rsidP="00162E5E">
      <w:pPr>
        <w:numPr>
          <w:ilvl w:val="0"/>
          <w:numId w:val="6"/>
        </w:numPr>
      </w:pPr>
      <w:r>
        <w:t>On page 277, the range in the fourth bullet’s second sub-bullet should be [-1.0, 1.0) not [-1.0, 1.0].</w:t>
      </w:r>
    </w:p>
    <w:p w14:paraId="30546869" w14:textId="77777777" w:rsidR="00162E5E" w:rsidRDefault="00162E5E" w:rsidP="00162E5E">
      <w:pPr>
        <w:pStyle w:val="Heading3"/>
      </w:pPr>
      <w:r>
        <w:t>Chapter 13</w:t>
      </w:r>
    </w:p>
    <w:p w14:paraId="09E0AAD7" w14:textId="77777777" w:rsidR="00162E5E" w:rsidRDefault="00162E5E" w:rsidP="00162E5E">
      <w:pPr>
        <w:numPr>
          <w:ilvl w:val="0"/>
          <w:numId w:val="8"/>
        </w:numPr>
      </w:pPr>
      <w:r>
        <w:t>Page 302: The fourth line should read “</w:t>
      </w:r>
      <w:r>
        <w:rPr>
          <w:rFonts w:ascii="Courier New" w:eastAsia="Courier New" w:hAnsi="Courier New" w:cs="Courier New"/>
        </w:rPr>
        <w:t>done</w:t>
      </w:r>
      <w:r>
        <w:t xml:space="preserve"> equals </w:t>
      </w:r>
      <w:r>
        <w:rPr>
          <w:rFonts w:ascii="Courier New" w:eastAsia="Courier New" w:hAnsi="Courier New" w:cs="Courier New"/>
        </w:rPr>
        <w:t>True</w:t>
      </w:r>
      <w:r>
        <w:t>” not “</w:t>
      </w:r>
      <w:r>
        <w:rPr>
          <w:rFonts w:ascii="Courier New" w:eastAsia="Courier New" w:hAnsi="Courier New" w:cs="Courier New"/>
        </w:rPr>
        <w:t>done</w:t>
      </w:r>
      <w:r>
        <w:t xml:space="preserve"> equals </w:t>
      </w:r>
      <w:r>
        <w:rPr>
          <w:rFonts w:ascii="Courier New" w:eastAsia="Courier New" w:hAnsi="Courier New" w:cs="Courier New"/>
        </w:rPr>
        <w:t>true</w:t>
      </w:r>
      <w:r>
        <w:t>”.</w:t>
      </w:r>
    </w:p>
    <w:p w14:paraId="1C452F22" w14:textId="77777777" w:rsidR="00162E5E" w:rsidRDefault="00162E5E" w:rsidP="00162E5E">
      <w:pPr>
        <w:pStyle w:val="Heading3"/>
      </w:pPr>
      <w:r>
        <w:lastRenderedPageBreak/>
        <w:t>Chapter 14</w:t>
      </w:r>
    </w:p>
    <w:p w14:paraId="252DDC95" w14:textId="77777777" w:rsidR="00162E5E" w:rsidRDefault="00162E5E" w:rsidP="00162E5E">
      <w:pPr>
        <w:numPr>
          <w:ilvl w:val="0"/>
          <w:numId w:val="10"/>
        </w:numPr>
      </w:pPr>
      <w:r>
        <w:t>Page 327: In both the third line from the top and in footnote 21, “Chapter 1” should be “Chapter 4”.</w:t>
      </w:r>
    </w:p>
    <w:p w14:paraId="4D182894" w14:textId="77777777" w:rsidR="00162E5E" w:rsidRDefault="00162E5E" w:rsidP="00162E5E">
      <w:pPr>
        <w:pStyle w:val="Heading3"/>
      </w:pPr>
      <w:r>
        <w:t>Appendix B</w:t>
      </w:r>
    </w:p>
    <w:p w14:paraId="32D981F8" w14:textId="77777777" w:rsidR="00162E5E" w:rsidRDefault="00162E5E" w:rsidP="00162E5E">
      <w:pPr>
        <w:numPr>
          <w:ilvl w:val="0"/>
          <w:numId w:val="3"/>
        </w:numPr>
      </w:pPr>
      <w:r>
        <w:t xml:space="preserve">There’s an error in the partial derivative notation for backpropagation. See </w:t>
      </w:r>
      <w:hyperlink r:id="rId6">
        <w:r>
          <w:rPr>
            <w:color w:val="1155CC"/>
            <w:u w:val="single"/>
          </w:rPr>
          <w:t>this issue in GitHub</w:t>
        </w:r>
      </w:hyperlink>
      <w:r>
        <w:t>.</w:t>
      </w:r>
    </w:p>
    <w:p w14:paraId="5D5BD684" w14:textId="77777777" w:rsidR="00162E5E" w:rsidRDefault="00162E5E" w:rsidP="00162E5E">
      <w:pPr>
        <w:numPr>
          <w:ilvl w:val="0"/>
          <w:numId w:val="3"/>
        </w:numPr>
      </w:pPr>
      <w:r>
        <w:t>Page 337: The fifth line under Equation B.12 should read "a^{L-1} will change" (superscript “L-1” in LaTeX notation) not "a_{L-1} will change" (subscript “L-1” in LaTeX).</w:t>
      </w:r>
    </w:p>
    <w:p w14:paraId="53C45AFE" w14:textId="77777777" w:rsidR="00162E5E" w:rsidRPr="00162E5E" w:rsidRDefault="00162E5E" w:rsidP="00162E5E"/>
    <w:p w14:paraId="088BA5CD" w14:textId="43ED79B4" w:rsidR="00162E5E" w:rsidRPr="00162E5E" w:rsidRDefault="00162E5E" w:rsidP="00162E5E">
      <w:pPr>
        <w:pStyle w:val="Heading2"/>
        <w:rPr>
          <w:b/>
          <w:bCs/>
        </w:rPr>
      </w:pPr>
      <w:r w:rsidRPr="00162E5E">
        <w:rPr>
          <w:b/>
          <w:bCs/>
        </w:rPr>
        <w:t>Corrections to the first printing:</w:t>
      </w:r>
    </w:p>
    <w:p w14:paraId="00000005" w14:textId="77777777" w:rsidR="00286241" w:rsidRDefault="00162E5E" w:rsidP="00162E5E">
      <w:pPr>
        <w:pStyle w:val="Heading3"/>
      </w:pPr>
      <w:bookmarkStart w:id="3" w:name="_memsagy1e2ai" w:colFirst="0" w:colLast="0"/>
      <w:bookmarkEnd w:id="3"/>
      <w:r>
        <w:t>Chapter 2</w:t>
      </w:r>
    </w:p>
    <w:p w14:paraId="00000006" w14:textId="77777777" w:rsidR="00286241" w:rsidRDefault="00162E5E">
      <w:pPr>
        <w:numPr>
          <w:ilvl w:val="0"/>
          <w:numId w:val="7"/>
        </w:numPr>
      </w:pPr>
      <w:r>
        <w:t xml:space="preserve">Page 30: The </w:t>
      </w:r>
      <w:r>
        <w:rPr>
          <w:rFonts w:ascii="Courier New" w:eastAsia="Courier New" w:hAnsi="Courier New" w:cs="Courier New"/>
        </w:rPr>
        <w:t>bit.ly/word2viz</w:t>
      </w:r>
      <w:r>
        <w:t xml:space="preserve"> link is broken. Please use </w:t>
      </w:r>
      <w:hyperlink r:id="rId7">
        <w:r>
          <w:rPr>
            <w:rFonts w:ascii="Courier New" w:eastAsia="Courier New" w:hAnsi="Courier New" w:cs="Courier New"/>
            <w:color w:val="1155CC"/>
            <w:u w:val="single"/>
          </w:rPr>
          <w:t>jonkrohn.com/word2viz</w:t>
        </w:r>
      </w:hyperlink>
      <w:r>
        <w:t xml:space="preserve"> instead.</w:t>
      </w:r>
    </w:p>
    <w:p w14:paraId="00000009" w14:textId="77777777" w:rsidR="00286241" w:rsidRDefault="00162E5E" w:rsidP="00162E5E">
      <w:pPr>
        <w:pStyle w:val="Heading3"/>
      </w:pPr>
      <w:bookmarkStart w:id="4" w:name="_uvs159af8ict" w:colFirst="0" w:colLast="0"/>
      <w:bookmarkStart w:id="5" w:name="_u81c8in3h67s" w:colFirst="0" w:colLast="0"/>
      <w:bookmarkEnd w:id="4"/>
      <w:bookmarkEnd w:id="5"/>
      <w:r>
        <w:t>Chapter 5</w:t>
      </w:r>
    </w:p>
    <w:p w14:paraId="0000000A" w14:textId="77777777" w:rsidR="00286241" w:rsidRDefault="00162E5E">
      <w:pPr>
        <w:numPr>
          <w:ilvl w:val="0"/>
          <w:numId w:val="7"/>
        </w:numPr>
      </w:pPr>
      <w:r>
        <w:t>Page 83: The section title “Training a Deep Learning Model” should be “</w:t>
      </w:r>
      <w:r>
        <w:t>Training a Neural Network Model”</w:t>
      </w:r>
    </w:p>
    <w:p w14:paraId="0000000B" w14:textId="77777777" w:rsidR="00286241" w:rsidRDefault="00162E5E" w:rsidP="00162E5E">
      <w:pPr>
        <w:pStyle w:val="Heading3"/>
      </w:pPr>
      <w:bookmarkStart w:id="6" w:name="_wn4s8p3p1nvy" w:colFirst="0" w:colLast="0"/>
      <w:bookmarkEnd w:id="6"/>
      <w:r>
        <w:t>Chapter 7</w:t>
      </w:r>
    </w:p>
    <w:p w14:paraId="0000000C" w14:textId="77777777" w:rsidR="00286241" w:rsidRDefault="00162E5E">
      <w:pPr>
        <w:numPr>
          <w:ilvl w:val="0"/>
          <w:numId w:val="4"/>
        </w:numPr>
      </w:pPr>
      <w:r>
        <w:t xml:space="preserve">Figure 7.1: There’s a directed edge (an arrow) missing between the neuron labeled </w:t>
      </w:r>
      <w:r>
        <w:rPr>
          <w:i/>
        </w:rPr>
        <w:t>x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and the neuron labeled </w:t>
      </w:r>
      <w:r>
        <w:rPr>
          <w:i/>
        </w:rPr>
        <w:t>a</w:t>
      </w:r>
      <w:r>
        <w:rPr>
          <w:i/>
          <w:vertAlign w:val="subscript"/>
        </w:rPr>
        <w:t>2</w:t>
      </w:r>
    </w:p>
    <w:p w14:paraId="0000000D" w14:textId="77777777" w:rsidR="00286241" w:rsidRDefault="00162E5E">
      <w:pPr>
        <w:numPr>
          <w:ilvl w:val="0"/>
          <w:numId w:val="4"/>
        </w:numPr>
      </w:pPr>
      <w:r>
        <w:t>Figure 7.2: Ditto</w:t>
      </w:r>
    </w:p>
    <w:p w14:paraId="0000000E" w14:textId="77777777" w:rsidR="00286241" w:rsidRDefault="00162E5E">
      <w:pPr>
        <w:numPr>
          <w:ilvl w:val="0"/>
          <w:numId w:val="4"/>
        </w:numPr>
      </w:pPr>
      <w:r>
        <w:t>Figure 7.3: Ditto</w:t>
      </w:r>
    </w:p>
    <w:p w14:paraId="0000000F" w14:textId="77777777" w:rsidR="00286241" w:rsidRDefault="00162E5E">
      <w:pPr>
        <w:numPr>
          <w:ilvl w:val="0"/>
          <w:numId w:val="4"/>
        </w:numPr>
      </w:pPr>
      <w:r>
        <w:t>Figure 7.4: Ditto. In addition, there’s another directed edge miss</w:t>
      </w:r>
      <w:r>
        <w:t xml:space="preserve">ing between the neurons </w:t>
      </w:r>
      <w:r>
        <w:rPr>
          <w:i/>
        </w:rPr>
        <w:t>a</w:t>
      </w:r>
      <w:r>
        <w:rPr>
          <w:i/>
          <w:vertAlign w:val="subscript"/>
        </w:rPr>
        <w:t>4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>y</w:t>
      </w:r>
      <w:r>
        <w:rPr>
          <w:i/>
          <w:vertAlign w:val="subscript"/>
        </w:rPr>
        <w:t>3</w:t>
      </w:r>
    </w:p>
    <w:p w14:paraId="00000010" w14:textId="77777777" w:rsidR="00286241" w:rsidRDefault="00162E5E" w:rsidP="00162E5E">
      <w:pPr>
        <w:pStyle w:val="Heading3"/>
      </w:pPr>
      <w:bookmarkStart w:id="7" w:name="_uhmzo51hq95d" w:colFirst="0" w:colLast="0"/>
      <w:bookmarkEnd w:id="7"/>
      <w:r>
        <w:t>Chapter 9</w:t>
      </w:r>
    </w:p>
    <w:p w14:paraId="00000011" w14:textId="77777777" w:rsidR="00286241" w:rsidRDefault="00162E5E">
      <w:pPr>
        <w:numPr>
          <w:ilvl w:val="0"/>
          <w:numId w:val="9"/>
        </w:numPr>
      </w:pPr>
      <w:r>
        <w:t>Page 138: The first sentence in the Batch Normalization section should read: “During neural network training, the distribution of parameters in a given layer may gradually move around…”</w:t>
      </w:r>
    </w:p>
    <w:p w14:paraId="00000012" w14:textId="77777777" w:rsidR="00286241" w:rsidRDefault="00162E5E">
      <w:pPr>
        <w:numPr>
          <w:ilvl w:val="0"/>
          <w:numId w:val="9"/>
        </w:numPr>
      </w:pPr>
      <w:r>
        <w:t>Footnote 16 should read: “</w:t>
      </w:r>
      <w:r>
        <w:t xml:space="preserve">This circumstance can be annotated as </w:t>
      </w:r>
      <w:r>
        <w:rPr>
          <w:i/>
        </w:rPr>
        <w:t>p &gt;&gt; n</w:t>
      </w:r>
      <w:r>
        <w:t xml:space="preserve">, indicating the </w:t>
      </w:r>
      <w:r>
        <w:rPr>
          <w:i/>
        </w:rPr>
        <w:t>p</w:t>
      </w:r>
      <w:r>
        <w:t xml:space="preserve">arameter count is much greater than the </w:t>
      </w:r>
      <w:r>
        <w:rPr>
          <w:i/>
        </w:rPr>
        <w:t>n</w:t>
      </w:r>
      <w:r>
        <w:t>umber of samples.”</w:t>
      </w:r>
    </w:p>
    <w:p w14:paraId="00000013" w14:textId="77777777" w:rsidR="00286241" w:rsidRDefault="00162E5E">
      <w:pPr>
        <w:numPr>
          <w:ilvl w:val="0"/>
          <w:numId w:val="9"/>
        </w:numPr>
      </w:pPr>
      <w:r>
        <w:t>Page 147: Instead of “we’re”, it should read “we’ve reached a momentous milestone”</w:t>
      </w:r>
    </w:p>
    <w:p w14:paraId="00000015" w14:textId="77777777" w:rsidR="00286241" w:rsidRDefault="00162E5E">
      <w:pPr>
        <w:numPr>
          <w:ilvl w:val="0"/>
          <w:numId w:val="9"/>
        </w:numPr>
      </w:pPr>
      <w:r>
        <w:t xml:space="preserve">Page 152: The command in step 2 for running </w:t>
      </w:r>
      <w:proofErr w:type="spellStart"/>
      <w:r>
        <w:t>TensorBoard</w:t>
      </w:r>
      <w:proofErr w:type="spellEnd"/>
      <w:r>
        <w:t xml:space="preserve"> should be </w:t>
      </w:r>
      <w:proofErr w:type="spellStart"/>
      <w:r>
        <w:rPr>
          <w:rFonts w:ascii="Courier New" w:eastAsia="Courier New" w:hAnsi="Courier New" w:cs="Courier New"/>
        </w:rPr>
        <w:t>tensorboard</w:t>
      </w:r>
      <w:proofErr w:type="spellEnd"/>
      <w:r>
        <w:rPr>
          <w:rFonts w:ascii="Courier New" w:eastAsia="Courier New" w:hAnsi="Courier New" w:cs="Courier New"/>
        </w:rPr>
        <w:t xml:space="preserve"> --</w:t>
      </w:r>
      <w:proofErr w:type="spellStart"/>
      <w:r>
        <w:rPr>
          <w:rFonts w:ascii="Courier New" w:eastAsia="Courier New" w:hAnsi="Courier New" w:cs="Courier New"/>
        </w:rPr>
        <w:t>logdir</w:t>
      </w:r>
      <w:proofErr w:type="spellEnd"/>
      <w:r>
        <w:rPr>
          <w:rFonts w:ascii="Courier New" w:eastAsia="Courier New" w:hAnsi="Courier New" w:cs="Courier New"/>
        </w:rPr>
        <w:t xml:space="preserve">==`logs` --port 6006 </w:t>
      </w:r>
      <w:r>
        <w:t xml:space="preserve">(as opposed to the </w:t>
      </w:r>
      <w:r>
        <w:rPr>
          <w:rFonts w:ascii="Courier New" w:eastAsia="Courier New" w:hAnsi="Courier New" w:cs="Courier New"/>
        </w:rPr>
        <w:t>--</w:t>
      </w:r>
      <w:proofErr w:type="spellStart"/>
      <w:r>
        <w:rPr>
          <w:rFonts w:ascii="Courier New" w:eastAsia="Courier New" w:hAnsi="Courier New" w:cs="Courier New"/>
        </w:rPr>
        <w:t>logdir</w:t>
      </w:r>
      <w:proofErr w:type="spellEnd"/>
      <w:r>
        <w:t xml:space="preserve"> argument being set to the </w:t>
      </w:r>
      <w:proofErr w:type="gramStart"/>
      <w:r>
        <w:t>overly-specific</w:t>
      </w:r>
      <w:proofErr w:type="gramEnd"/>
      <w:r>
        <w:t xml:space="preserve"> </w:t>
      </w:r>
      <w:r>
        <w:rPr>
          <w:rFonts w:ascii="Courier New" w:eastAsia="Courier New" w:hAnsi="Courier New" w:cs="Courier New"/>
        </w:rPr>
        <w:t>`logs/deep-net`</w:t>
      </w:r>
      <w:r>
        <w:t>)</w:t>
      </w:r>
    </w:p>
    <w:p w14:paraId="00000016" w14:textId="77777777" w:rsidR="00286241" w:rsidRDefault="00162E5E" w:rsidP="00162E5E">
      <w:pPr>
        <w:pStyle w:val="Heading3"/>
      </w:pPr>
      <w:bookmarkStart w:id="8" w:name="_jf4kx5eangpp" w:colFirst="0" w:colLast="0"/>
      <w:bookmarkEnd w:id="8"/>
      <w:r>
        <w:lastRenderedPageBreak/>
        <w:t>Chapter 10</w:t>
      </w:r>
    </w:p>
    <w:p w14:paraId="00000017" w14:textId="77777777" w:rsidR="00286241" w:rsidRDefault="00162E5E">
      <w:pPr>
        <w:numPr>
          <w:ilvl w:val="0"/>
          <w:numId w:val="2"/>
        </w:numPr>
      </w:pPr>
      <w:r>
        <w:t>Page 167: “</w:t>
      </w:r>
      <w:proofErr w:type="spellStart"/>
      <w:r>
        <w:t>spacial</w:t>
      </w:r>
      <w:proofErr w:type="spellEnd"/>
      <w:r>
        <w:t xml:space="preserve"> context” should be “spatial cont</w:t>
      </w:r>
      <w:r>
        <w:t>ext”</w:t>
      </w:r>
    </w:p>
    <w:p w14:paraId="00000018" w14:textId="77777777" w:rsidR="00286241" w:rsidRDefault="00162E5E">
      <w:pPr>
        <w:numPr>
          <w:ilvl w:val="0"/>
          <w:numId w:val="2"/>
        </w:numPr>
      </w:pPr>
      <w:r>
        <w:t xml:space="preserve">Figure 10.10: On the right-hand side of the figure, the conv blocks should appear above the pooling block. </w:t>
      </w:r>
    </w:p>
    <w:p w14:paraId="00000019" w14:textId="77777777" w:rsidR="00286241" w:rsidRDefault="00162E5E">
      <w:pPr>
        <w:numPr>
          <w:ilvl w:val="0"/>
          <w:numId w:val="2"/>
        </w:numPr>
      </w:pPr>
      <w:r>
        <w:t>Figure 10.12: Along the bottom of the figure, the lowest block in the sixth column should be black not red, as with all of the other skip conne</w:t>
      </w:r>
      <w:r>
        <w:t xml:space="preserve">ctions in that part of the figure. </w:t>
      </w:r>
    </w:p>
    <w:p w14:paraId="0000001A" w14:textId="77777777" w:rsidR="00286241" w:rsidRDefault="00162E5E">
      <w:pPr>
        <w:numPr>
          <w:ilvl w:val="0"/>
          <w:numId w:val="2"/>
        </w:numPr>
      </w:pPr>
      <w:r>
        <w:t xml:space="preserve">Footnote 33: Apologies to Ross </w:t>
      </w:r>
      <w:proofErr w:type="spellStart"/>
      <w:r>
        <w:t>Girshick</w:t>
      </w:r>
      <w:proofErr w:type="spellEnd"/>
      <w:r>
        <w:t xml:space="preserve">, his surname does not have an “n” in it. </w:t>
      </w:r>
    </w:p>
    <w:p w14:paraId="0000001B" w14:textId="77777777" w:rsidR="00286241" w:rsidRDefault="00162E5E">
      <w:pPr>
        <w:numPr>
          <w:ilvl w:val="0"/>
          <w:numId w:val="2"/>
        </w:numPr>
      </w:pPr>
      <w:r>
        <w:t>Footnote 36: Ditto</w:t>
      </w:r>
    </w:p>
    <w:p w14:paraId="0000001C" w14:textId="77777777" w:rsidR="00286241" w:rsidRDefault="00162E5E" w:rsidP="00162E5E">
      <w:pPr>
        <w:pStyle w:val="Heading3"/>
      </w:pPr>
      <w:bookmarkStart w:id="9" w:name="_o1rqsb99u0aj" w:colFirst="0" w:colLast="0"/>
      <w:bookmarkEnd w:id="9"/>
      <w:r>
        <w:t>Chapter 11</w:t>
      </w:r>
    </w:p>
    <w:p w14:paraId="00000020" w14:textId="77777777" w:rsidR="00286241" w:rsidRDefault="00162E5E">
      <w:pPr>
        <w:numPr>
          <w:ilvl w:val="0"/>
          <w:numId w:val="5"/>
        </w:numPr>
      </w:pPr>
      <w:r>
        <w:t>Figure 11.25: An occurrenc</w:t>
      </w:r>
      <w:r>
        <w:t>e of the word “output” is misspelt “</w:t>
      </w:r>
      <w:proofErr w:type="spellStart"/>
      <w:r>
        <w:t>ouput</w:t>
      </w:r>
      <w:proofErr w:type="spellEnd"/>
      <w:r>
        <w:t>”</w:t>
      </w:r>
    </w:p>
    <w:p w14:paraId="00000021" w14:textId="77777777" w:rsidR="00286241" w:rsidRDefault="00162E5E">
      <w:pPr>
        <w:numPr>
          <w:ilvl w:val="0"/>
          <w:numId w:val="5"/>
        </w:numPr>
      </w:pPr>
      <w:r>
        <w:t xml:space="preserve">Example 11.40: Programmatically it makes no difference, but for consistency with Figure 11.27, it might be more straightforward if </w:t>
      </w:r>
      <w:r>
        <w:rPr>
          <w:rFonts w:ascii="Courier New" w:eastAsia="Courier New" w:hAnsi="Courier New" w:cs="Courier New"/>
        </w:rPr>
        <w:t>k_conv_1</w:t>
      </w:r>
      <w:r>
        <w:t xml:space="preserve"> </w:t>
      </w:r>
      <w:proofErr w:type="gramStart"/>
      <w:r>
        <w:t>were</w:t>
      </w:r>
      <w:proofErr w:type="gramEnd"/>
      <w:r>
        <w:t xml:space="preserve"> set to </w:t>
      </w:r>
      <w:r>
        <w:rPr>
          <w:rFonts w:ascii="Courier New" w:eastAsia="Courier New" w:hAnsi="Courier New" w:cs="Courier New"/>
        </w:rPr>
        <w:t>2</w:t>
      </w:r>
      <w:r>
        <w:t xml:space="preserve"> and </w:t>
      </w:r>
      <w:r>
        <w:rPr>
          <w:rFonts w:ascii="Courier New" w:eastAsia="Courier New" w:hAnsi="Courier New" w:cs="Courier New"/>
        </w:rPr>
        <w:t>k_conv_2</w:t>
      </w:r>
      <w:r>
        <w:t xml:space="preserve"> were set to </w:t>
      </w:r>
      <w:r>
        <w:rPr>
          <w:rFonts w:ascii="Courier New" w:eastAsia="Courier New" w:hAnsi="Courier New" w:cs="Courier New"/>
        </w:rPr>
        <w:t>3</w:t>
      </w:r>
      <w:r>
        <w:t xml:space="preserve"> instead of the other way around.</w:t>
      </w:r>
      <w:r>
        <w:t xml:space="preserve"> </w:t>
      </w:r>
    </w:p>
    <w:p w14:paraId="00000026" w14:textId="77777777" w:rsidR="00286241" w:rsidRDefault="00162E5E" w:rsidP="00162E5E">
      <w:pPr>
        <w:pStyle w:val="Heading3"/>
      </w:pPr>
      <w:bookmarkStart w:id="10" w:name="_rzt09q9yajv3" w:colFirst="0" w:colLast="0"/>
      <w:bookmarkStart w:id="11" w:name="_vx0pyucq7vj" w:colFirst="0" w:colLast="0"/>
      <w:bookmarkEnd w:id="10"/>
      <w:bookmarkEnd w:id="11"/>
      <w:r>
        <w:t>Chapter 13</w:t>
      </w:r>
    </w:p>
    <w:p w14:paraId="00000027" w14:textId="77777777" w:rsidR="00286241" w:rsidRDefault="00162E5E">
      <w:pPr>
        <w:numPr>
          <w:ilvl w:val="0"/>
          <w:numId w:val="8"/>
        </w:numPr>
      </w:pPr>
      <w:r>
        <w:t>Page 286: Add “sonar” to the list of autonomous vehicle sensors, e.g., “cameras, radar, sonar, lidar”</w:t>
      </w:r>
    </w:p>
    <w:p w14:paraId="00000028" w14:textId="77777777" w:rsidR="00286241" w:rsidRDefault="00162E5E">
      <w:pPr>
        <w:numPr>
          <w:ilvl w:val="0"/>
          <w:numId w:val="8"/>
        </w:numPr>
      </w:pPr>
      <w:r>
        <w:t xml:space="preserve">Footnote 2 should read: “Same principle as sonar but uses lasers </w:t>
      </w:r>
      <w:proofErr w:type="spellStart"/>
      <w:r>
        <w:t>intead</w:t>
      </w:r>
      <w:proofErr w:type="spellEnd"/>
      <w:r>
        <w:t xml:space="preserve"> of sound.” (Thanks to Austen Groener,</w:t>
      </w:r>
      <w:r>
        <w:t xml:space="preserve"> an AI Research Scientist at Lockheed Martin Space, for pointing this one out.)</w:t>
      </w:r>
    </w:p>
    <w:p w14:paraId="0000002C" w14:textId="77777777" w:rsidR="00286241" w:rsidRDefault="00162E5E" w:rsidP="00162E5E">
      <w:pPr>
        <w:pStyle w:val="Heading3"/>
      </w:pPr>
      <w:bookmarkStart w:id="12" w:name="_84so48mwtywi" w:colFirst="0" w:colLast="0"/>
      <w:bookmarkStart w:id="13" w:name="_ru012v3mw4d3" w:colFirst="0" w:colLast="0"/>
      <w:bookmarkEnd w:id="12"/>
      <w:bookmarkEnd w:id="13"/>
      <w:r>
        <w:t>Appendix B</w:t>
      </w:r>
    </w:p>
    <w:p w14:paraId="0000002D" w14:textId="77777777" w:rsidR="00286241" w:rsidRDefault="00162E5E">
      <w:pPr>
        <w:numPr>
          <w:ilvl w:val="0"/>
          <w:numId w:val="3"/>
        </w:numPr>
      </w:pPr>
      <w:r>
        <w:t xml:space="preserve">There’s an error in the partial derivative notation for backpropagation. See </w:t>
      </w:r>
      <w:hyperlink r:id="rId8">
        <w:r>
          <w:rPr>
            <w:color w:val="1155CC"/>
            <w:u w:val="single"/>
          </w:rPr>
          <w:t>this issue in GitHub</w:t>
        </w:r>
      </w:hyperlink>
      <w:r>
        <w:t>.</w:t>
      </w:r>
    </w:p>
    <w:p w14:paraId="0000002F" w14:textId="77777777" w:rsidR="00286241" w:rsidRDefault="00286241"/>
    <w:p w14:paraId="00000030" w14:textId="77777777" w:rsidR="00286241" w:rsidRDefault="00286241"/>
    <w:sectPr w:rsidR="002862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1D34"/>
    <w:multiLevelType w:val="multilevel"/>
    <w:tmpl w:val="2292C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DC62E3"/>
    <w:multiLevelType w:val="multilevel"/>
    <w:tmpl w:val="B9882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01455F"/>
    <w:multiLevelType w:val="multilevel"/>
    <w:tmpl w:val="45CC1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3A54BC"/>
    <w:multiLevelType w:val="multilevel"/>
    <w:tmpl w:val="F4B69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184331"/>
    <w:multiLevelType w:val="multilevel"/>
    <w:tmpl w:val="DE365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444998"/>
    <w:multiLevelType w:val="multilevel"/>
    <w:tmpl w:val="04882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D20A4B"/>
    <w:multiLevelType w:val="multilevel"/>
    <w:tmpl w:val="086A3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D768F8"/>
    <w:multiLevelType w:val="multilevel"/>
    <w:tmpl w:val="61A45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942498"/>
    <w:multiLevelType w:val="multilevel"/>
    <w:tmpl w:val="1A464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F7082B"/>
    <w:multiLevelType w:val="multilevel"/>
    <w:tmpl w:val="F202D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41"/>
    <w:rsid w:val="00162E5E"/>
    <w:rsid w:val="00286241"/>
    <w:rsid w:val="008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3E3F"/>
  <w15:docId w15:val="{6D5A6F3D-E2A8-4365-8B8C-CB870564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the-deep-learners/deep-learning-illustrated/issues/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nkrohn.com/word2v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the-deep-learners/deep-learning-illustrated/issues/6" TargetMode="External"/><Relationship Id="rId5" Type="http://schemas.openxmlformats.org/officeDocument/2006/relationships/hyperlink" Target="https://www.jonkroh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Nahil, Julie</cp:lastModifiedBy>
  <cp:revision>3</cp:revision>
  <dcterms:created xsi:type="dcterms:W3CDTF">2020-09-24T16:49:00Z</dcterms:created>
  <dcterms:modified xsi:type="dcterms:W3CDTF">2020-09-24T16:54:00Z</dcterms:modified>
</cp:coreProperties>
</file>